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E891" w14:textId="4B460907" w:rsidR="009619A0" w:rsidRDefault="00605C80" w:rsidP="007C5516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04C9D287" w14:textId="77777777" w:rsidR="007C5516" w:rsidRDefault="007C5516" w:rsidP="007C5516">
      <w:pPr>
        <w:pStyle w:val="NoSpacing"/>
        <w:rPr>
          <w:rFonts w:cs="Arial"/>
          <w:szCs w:val="24"/>
        </w:rPr>
      </w:pPr>
    </w:p>
    <w:p w14:paraId="4D9E287C" w14:textId="77777777" w:rsidR="007C5516" w:rsidRPr="00011E42" w:rsidRDefault="007C5516" w:rsidP="007C5516">
      <w:pPr>
        <w:pStyle w:val="NoSpacing"/>
      </w:pPr>
      <w:r w:rsidRPr="00011E42">
        <w:t>Gebroe-Hammer Associates</w:t>
      </w:r>
    </w:p>
    <w:p w14:paraId="4783F3AA" w14:textId="77777777" w:rsidR="007C5516" w:rsidRPr="00011E42" w:rsidRDefault="007C5516" w:rsidP="007C5516">
      <w:pPr>
        <w:pStyle w:val="NoSpacing"/>
      </w:pPr>
      <w:r w:rsidRPr="00011E42">
        <w:t>2 West Northfield Road</w:t>
      </w:r>
    </w:p>
    <w:p w14:paraId="2C2799B3" w14:textId="77777777" w:rsidR="007C5516" w:rsidRPr="00011E42" w:rsidRDefault="007C5516" w:rsidP="007C5516">
      <w:pPr>
        <w:pStyle w:val="NoSpacing"/>
      </w:pPr>
      <w:r w:rsidRPr="00011E42">
        <w:t>Livingston, NJ 07039</w:t>
      </w:r>
    </w:p>
    <w:p w14:paraId="064032CF" w14:textId="77777777" w:rsidR="007C5516" w:rsidRPr="00011E42" w:rsidRDefault="007C5516" w:rsidP="007C5516">
      <w:pPr>
        <w:pStyle w:val="NoSpacing"/>
      </w:pPr>
    </w:p>
    <w:p w14:paraId="67E9ED50" w14:textId="77777777" w:rsidR="007C5516" w:rsidRPr="00011E42" w:rsidRDefault="007C5516" w:rsidP="007C5516">
      <w:pPr>
        <w:pStyle w:val="NoSpacing"/>
      </w:pPr>
      <w:r w:rsidRPr="00011E42">
        <w:t>Media Contact:</w:t>
      </w:r>
      <w:r w:rsidRPr="00011E42">
        <w:rPr>
          <w:rStyle w:val="apple-tab-span"/>
          <w:rFonts w:eastAsia="Times New Roman" w:cs="Arial"/>
          <w:szCs w:val="24"/>
        </w:rPr>
        <w:tab/>
      </w:r>
      <w:r w:rsidRPr="00011E42">
        <w:t xml:space="preserve">Carin McDonald / </w:t>
      </w:r>
      <w:hyperlink r:id="rId5" w:history="1">
        <w:r w:rsidRPr="00011E42">
          <w:rPr>
            <w:rStyle w:val="Hyperlink"/>
            <w:rFonts w:eastAsia="Times New Roman" w:cs="Arial"/>
            <w:color w:val="0170C0"/>
            <w:szCs w:val="24"/>
          </w:rPr>
          <w:t>carin@cmmstrategic.com</w:t>
        </w:r>
      </w:hyperlink>
      <w:r w:rsidRPr="00011E42">
        <w:t xml:space="preserve"> / 973.513.9580</w:t>
      </w:r>
    </w:p>
    <w:p w14:paraId="14420629" w14:textId="77777777" w:rsidR="007C5516" w:rsidRPr="00011E42" w:rsidRDefault="007C5516" w:rsidP="007C5516">
      <w:pPr>
        <w:pStyle w:val="NoSpacing"/>
        <w:rPr>
          <w:color w:val="0170C0"/>
        </w:rPr>
      </w:pP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rStyle w:val="apple-tab-span"/>
          <w:rFonts w:eastAsia="Times New Roman" w:cs="Arial"/>
          <w:color w:val="000000"/>
          <w:szCs w:val="24"/>
        </w:rPr>
        <w:tab/>
      </w:r>
      <w:r w:rsidRPr="00011E42">
        <w:rPr>
          <w:color w:val="000000"/>
        </w:rPr>
        <w:t xml:space="preserve">Follow us on </w:t>
      </w:r>
      <w:hyperlink r:id="rId6" w:history="1">
        <w:r w:rsidRPr="00011E42">
          <w:rPr>
            <w:rStyle w:val="Hyperlink"/>
            <w:rFonts w:eastAsia="Times New Roman" w:cs="Arial"/>
            <w:szCs w:val="24"/>
          </w:rPr>
          <w:t>Twitter</w:t>
        </w:r>
      </w:hyperlink>
      <w:r w:rsidRPr="00011E42">
        <w:rPr>
          <w:color w:val="000000"/>
        </w:rPr>
        <w:t xml:space="preserve"> / </w:t>
      </w:r>
      <w:hyperlink r:id="rId7" w:history="1">
        <w:r w:rsidRPr="00011E42">
          <w:rPr>
            <w:rStyle w:val="Hyperlink"/>
            <w:rFonts w:eastAsia="Times New Roman" w:cs="Arial"/>
            <w:szCs w:val="24"/>
          </w:rPr>
          <w:t>LinkedIn</w:t>
        </w:r>
      </w:hyperlink>
      <w:r w:rsidRPr="00011E42">
        <w:rPr>
          <w:color w:val="000000"/>
        </w:rPr>
        <w:t xml:space="preserve"> / </w:t>
      </w:r>
      <w:hyperlink r:id="rId8" w:history="1">
        <w:r w:rsidRPr="00011E42">
          <w:rPr>
            <w:rStyle w:val="Hyperlink"/>
            <w:rFonts w:eastAsia="Times New Roman" w:cs="Arial"/>
            <w:szCs w:val="24"/>
          </w:rPr>
          <w:t>Facebook</w:t>
        </w:r>
      </w:hyperlink>
    </w:p>
    <w:p w14:paraId="1AEBDD5F" w14:textId="77777777" w:rsidR="003A1275" w:rsidRDefault="003A1275" w:rsidP="007C5516">
      <w:pPr>
        <w:pStyle w:val="NoSpacing"/>
        <w:rPr>
          <w:b/>
          <w:bCs/>
          <w:shd w:val="clear" w:color="auto" w:fill="FEFEFE"/>
        </w:rPr>
      </w:pPr>
    </w:p>
    <w:p w14:paraId="55A802E2" w14:textId="77777777" w:rsidR="00A90129" w:rsidRDefault="007C5516" w:rsidP="007C5516">
      <w:pPr>
        <w:pStyle w:val="NoSpacing"/>
        <w:rPr>
          <w:b/>
          <w:bCs/>
          <w:shd w:val="clear" w:color="auto" w:fill="FEFEFE"/>
        </w:rPr>
      </w:pPr>
      <w:r>
        <w:rPr>
          <w:b/>
          <w:bCs/>
          <w:shd w:val="clear" w:color="auto" w:fill="FEFEFE"/>
        </w:rPr>
        <w:t>Gebroe-Hammer Associates Announces</w:t>
      </w:r>
      <w:r w:rsidR="00A90129">
        <w:rPr>
          <w:b/>
          <w:bCs/>
          <w:shd w:val="clear" w:color="auto" w:fill="FEFEFE"/>
        </w:rPr>
        <w:t xml:space="preserve"> $2.02B in</w:t>
      </w:r>
      <w:r>
        <w:rPr>
          <w:b/>
          <w:bCs/>
          <w:shd w:val="clear" w:color="auto" w:fill="FEFEFE"/>
        </w:rPr>
        <w:t xml:space="preserve"> 2021 </w:t>
      </w:r>
      <w:r w:rsidR="00A90129">
        <w:rPr>
          <w:b/>
          <w:bCs/>
          <w:shd w:val="clear" w:color="auto" w:fill="FEFEFE"/>
        </w:rPr>
        <w:t xml:space="preserve">Multifamily </w:t>
      </w:r>
      <w:r>
        <w:rPr>
          <w:b/>
          <w:bCs/>
          <w:shd w:val="clear" w:color="auto" w:fill="FEFEFE"/>
        </w:rPr>
        <w:t xml:space="preserve">Sales </w:t>
      </w:r>
    </w:p>
    <w:p w14:paraId="44AFA2A5" w14:textId="22B38AC2" w:rsidR="00AE60DA" w:rsidRDefault="00A90129" w:rsidP="007C5516">
      <w:pPr>
        <w:pStyle w:val="NoSpacing"/>
        <w:rPr>
          <w:i/>
          <w:iCs/>
          <w:shd w:val="clear" w:color="auto" w:fill="FEFEFE"/>
        </w:rPr>
      </w:pPr>
      <w:r w:rsidRPr="009D2502">
        <w:rPr>
          <w:i/>
          <w:iCs/>
          <w:shd w:val="clear" w:color="auto" w:fill="FEFEFE"/>
        </w:rPr>
        <w:t>Firm</w:t>
      </w:r>
      <w:r w:rsidR="009D2502">
        <w:rPr>
          <w:i/>
          <w:iCs/>
          <w:shd w:val="clear" w:color="auto" w:fill="FEFEFE"/>
        </w:rPr>
        <w:t>’s Market Specialists</w:t>
      </w:r>
      <w:r w:rsidRPr="009D2502">
        <w:rPr>
          <w:i/>
          <w:iCs/>
          <w:shd w:val="clear" w:color="auto" w:fill="FEFEFE"/>
        </w:rPr>
        <w:t xml:space="preserve"> Orchestrate Transactions involving </w:t>
      </w:r>
      <w:r w:rsidR="007C5516" w:rsidRPr="00076A3E">
        <w:rPr>
          <w:i/>
          <w:iCs/>
          <w:shd w:val="clear" w:color="auto" w:fill="FEFEFE"/>
        </w:rPr>
        <w:t>12,80</w:t>
      </w:r>
      <w:r w:rsidR="0097288C" w:rsidRPr="00076A3E">
        <w:rPr>
          <w:i/>
          <w:iCs/>
          <w:shd w:val="clear" w:color="auto" w:fill="FEFEFE"/>
        </w:rPr>
        <w:t>4</w:t>
      </w:r>
      <w:r w:rsidR="007C5516" w:rsidRPr="009D2502">
        <w:rPr>
          <w:i/>
          <w:iCs/>
          <w:shd w:val="clear" w:color="auto" w:fill="FEFEFE"/>
        </w:rPr>
        <w:t xml:space="preserve"> Unit</w:t>
      </w:r>
      <w:r w:rsidR="001712A1">
        <w:rPr>
          <w:i/>
          <w:iCs/>
          <w:shd w:val="clear" w:color="auto" w:fill="FEFEFE"/>
        </w:rPr>
        <w:t>s</w:t>
      </w:r>
    </w:p>
    <w:p w14:paraId="5CDEEDCC" w14:textId="6F558339" w:rsidR="00E6448D" w:rsidRDefault="00E6448D" w:rsidP="007C5516">
      <w:pPr>
        <w:pStyle w:val="NoSpacing"/>
        <w:rPr>
          <w:i/>
          <w:iCs/>
          <w:shd w:val="clear" w:color="auto" w:fill="FEFEFE"/>
        </w:rPr>
      </w:pPr>
    </w:p>
    <w:p w14:paraId="3E9812ED" w14:textId="090F23E5" w:rsidR="00E6448D" w:rsidRPr="00E6448D" w:rsidRDefault="00E6448D" w:rsidP="007C5516">
      <w:pPr>
        <w:pStyle w:val="NoSpacing"/>
        <w:rPr>
          <w:shd w:val="clear" w:color="auto" w:fill="FEFEFE"/>
        </w:rPr>
      </w:pPr>
      <w:r>
        <w:rPr>
          <w:shd w:val="clear" w:color="auto" w:fill="FEFEFE"/>
        </w:rPr>
        <w:t xml:space="preserve">Photo Caption: </w:t>
      </w:r>
      <w:r w:rsidRPr="00A6203E">
        <w:rPr>
          <w:rFonts w:ascii="Roboto Condensed" w:hAnsi="Roboto Condensed"/>
          <w:b/>
          <w:bCs/>
          <w:color w:val="080808"/>
          <w:spacing w:val="-6"/>
          <w:szCs w:val="24"/>
          <w:shd w:val="clear" w:color="auto" w:fill="FFFFFF"/>
        </w:rPr>
        <w:t>Imperial House Apartments at 750 North Broad St., Elizabeth sold for $21.3M in 2021</w:t>
      </w:r>
    </w:p>
    <w:p w14:paraId="58850573" w14:textId="77777777" w:rsidR="00AE60DA" w:rsidRDefault="00AE60DA" w:rsidP="007C5516">
      <w:pPr>
        <w:pStyle w:val="NoSpacing"/>
        <w:rPr>
          <w:shd w:val="clear" w:color="auto" w:fill="FEFEFE"/>
        </w:rPr>
      </w:pPr>
    </w:p>
    <w:p w14:paraId="5D75BB6E" w14:textId="7398585D" w:rsidR="007C5516" w:rsidRDefault="007C5516" w:rsidP="007C5516">
      <w:pPr>
        <w:pStyle w:val="NoSpacing"/>
        <w:rPr>
          <w:shd w:val="clear" w:color="auto" w:fill="FEFEFE"/>
        </w:rPr>
      </w:pPr>
      <w:r>
        <w:rPr>
          <w:b/>
          <w:bCs/>
          <w:shd w:val="clear" w:color="auto" w:fill="FEFEFE"/>
        </w:rPr>
        <w:t xml:space="preserve">Livingston, N.J., January </w:t>
      </w:r>
      <w:r w:rsidR="00A6203E">
        <w:rPr>
          <w:b/>
          <w:bCs/>
          <w:shd w:val="clear" w:color="auto" w:fill="FEFEFE"/>
        </w:rPr>
        <w:t>19</w:t>
      </w:r>
      <w:r>
        <w:rPr>
          <w:b/>
          <w:bCs/>
          <w:shd w:val="clear" w:color="auto" w:fill="FEFEFE"/>
        </w:rPr>
        <w:t>, 2022</w:t>
      </w:r>
      <w:r>
        <w:rPr>
          <w:shd w:val="clear" w:color="auto" w:fill="FEFEFE"/>
        </w:rPr>
        <w:t xml:space="preserve"> – </w:t>
      </w:r>
      <w:hyperlink r:id="rId9" w:history="1">
        <w:r w:rsidRPr="00EB3B02">
          <w:rPr>
            <w:rStyle w:val="Hyperlink"/>
            <w:shd w:val="clear" w:color="auto" w:fill="FEFEFE"/>
          </w:rPr>
          <w:t>Gebroe-Hammer Associates</w:t>
        </w:r>
      </w:hyperlink>
      <w:r>
        <w:rPr>
          <w:shd w:val="clear" w:color="auto" w:fill="FEFEFE"/>
        </w:rPr>
        <w:t xml:space="preserve"> </w:t>
      </w:r>
      <w:r w:rsidR="00EB3B02">
        <w:rPr>
          <w:shd w:val="clear" w:color="auto" w:fill="FEFEFE"/>
        </w:rPr>
        <w:t xml:space="preserve">has </w:t>
      </w:r>
      <w:r>
        <w:rPr>
          <w:shd w:val="clear" w:color="auto" w:fill="FEFEFE"/>
        </w:rPr>
        <w:t xml:space="preserve">announced full-year 2021 sales results of $2.02 Billion. In total, the firm recorded </w:t>
      </w:r>
      <w:r w:rsidRPr="00076A3E">
        <w:rPr>
          <w:shd w:val="clear" w:color="auto" w:fill="FEFEFE"/>
        </w:rPr>
        <w:t>12,80</w:t>
      </w:r>
      <w:r w:rsidR="0097288C" w:rsidRPr="00076A3E">
        <w:rPr>
          <w:shd w:val="clear" w:color="auto" w:fill="FEFEFE"/>
        </w:rPr>
        <w:t>4</w:t>
      </w:r>
      <w:r>
        <w:rPr>
          <w:shd w:val="clear" w:color="auto" w:fill="FEFEFE"/>
        </w:rPr>
        <w:t xml:space="preserve"> units</w:t>
      </w:r>
      <w:r w:rsidR="0053768D">
        <w:rPr>
          <w:shd w:val="clear" w:color="auto" w:fill="FEFEFE"/>
        </w:rPr>
        <w:t xml:space="preserve"> </w:t>
      </w:r>
      <w:r w:rsidR="00A90129">
        <w:rPr>
          <w:shd w:val="clear" w:color="auto" w:fill="FEFEFE"/>
        </w:rPr>
        <w:t xml:space="preserve">sold in 124 transactions </w:t>
      </w:r>
      <w:r>
        <w:rPr>
          <w:shd w:val="clear" w:color="auto" w:fill="FEFEFE"/>
        </w:rPr>
        <w:t>to eclipse i</w:t>
      </w:r>
      <w:r w:rsidR="00A90129">
        <w:rPr>
          <w:shd w:val="clear" w:color="auto" w:fill="FEFEFE"/>
        </w:rPr>
        <w:t>ts former all-time-high sales benchmark</w:t>
      </w:r>
      <w:r w:rsidR="00C728E3">
        <w:rPr>
          <w:shd w:val="clear" w:color="auto" w:fill="FEFEFE"/>
        </w:rPr>
        <w:t xml:space="preserve"> of $1.9B</w:t>
      </w:r>
      <w:r w:rsidR="00A90129">
        <w:rPr>
          <w:shd w:val="clear" w:color="auto" w:fill="FEFEFE"/>
        </w:rPr>
        <w:t xml:space="preserve"> from 2019</w:t>
      </w:r>
      <w:r>
        <w:rPr>
          <w:shd w:val="clear" w:color="auto" w:fill="FEFEFE"/>
        </w:rPr>
        <w:t>.</w:t>
      </w:r>
      <w:r w:rsidR="00621BC4">
        <w:rPr>
          <w:shd w:val="clear" w:color="auto" w:fill="FEFEFE"/>
        </w:rPr>
        <w:t xml:space="preserve"> </w:t>
      </w:r>
      <w:r>
        <w:rPr>
          <w:shd w:val="clear" w:color="auto" w:fill="FEFEFE"/>
        </w:rPr>
        <w:t xml:space="preserve">In December alone, Gebroe-Hammer recorded 22 deals encompassing 3,462 units sold for $574M. </w:t>
      </w:r>
    </w:p>
    <w:p w14:paraId="40425FD4" w14:textId="4D632B25" w:rsidR="00621BC4" w:rsidRDefault="00621BC4" w:rsidP="007C5516">
      <w:pPr>
        <w:pStyle w:val="NoSpacing"/>
        <w:rPr>
          <w:shd w:val="clear" w:color="auto" w:fill="FEFEFE"/>
        </w:rPr>
      </w:pPr>
    </w:p>
    <w:p w14:paraId="707B1031" w14:textId="5767A8D0" w:rsidR="00621BC4" w:rsidRDefault="00621BC4" w:rsidP="007C5516">
      <w:pPr>
        <w:pStyle w:val="NoSpacing"/>
        <w:rPr>
          <w:shd w:val="clear" w:color="auto" w:fill="FEFEFE"/>
        </w:rPr>
      </w:pPr>
      <w:r>
        <w:rPr>
          <w:shd w:val="clear" w:color="auto" w:fill="FEFEFE"/>
        </w:rPr>
        <w:t xml:space="preserve">Included in the total unit count are 59 commercial units </w:t>
      </w:r>
      <w:r w:rsidR="00077D1C">
        <w:rPr>
          <w:shd w:val="clear" w:color="auto" w:fill="FEFEFE"/>
        </w:rPr>
        <w:t>and a transaction count that</w:t>
      </w:r>
      <w:r>
        <w:rPr>
          <w:shd w:val="clear" w:color="auto" w:fill="FEFEFE"/>
        </w:rPr>
        <w:t xml:space="preserve"> </w:t>
      </w:r>
      <w:r w:rsidR="001712A1">
        <w:rPr>
          <w:shd w:val="clear" w:color="auto" w:fill="FEFEFE"/>
        </w:rPr>
        <w:t>consists of</w:t>
      </w:r>
      <w:r>
        <w:rPr>
          <w:shd w:val="clear" w:color="auto" w:fill="FEFEFE"/>
        </w:rPr>
        <w:t xml:space="preserve"> two land sales</w:t>
      </w:r>
      <w:r w:rsidR="00D2546F">
        <w:rPr>
          <w:shd w:val="clear" w:color="auto" w:fill="FEFEFE"/>
        </w:rPr>
        <w:t xml:space="preserve">. </w:t>
      </w:r>
      <w:r w:rsidR="00077D1C">
        <w:rPr>
          <w:shd w:val="clear" w:color="auto" w:fill="FEFEFE"/>
        </w:rPr>
        <w:t>With regard to the latter, o</w:t>
      </w:r>
      <w:r>
        <w:rPr>
          <w:shd w:val="clear" w:color="auto" w:fill="FEFEFE"/>
        </w:rPr>
        <w:t xml:space="preserve">ne </w:t>
      </w:r>
      <w:r w:rsidR="00D2546F">
        <w:rPr>
          <w:shd w:val="clear" w:color="auto" w:fill="FEFEFE"/>
        </w:rPr>
        <w:t xml:space="preserve">was </w:t>
      </w:r>
      <w:r>
        <w:rPr>
          <w:shd w:val="clear" w:color="auto" w:fill="FEFEFE"/>
        </w:rPr>
        <w:t xml:space="preserve">in Monmouth County and </w:t>
      </w:r>
      <w:r w:rsidR="00D2546F">
        <w:rPr>
          <w:shd w:val="clear" w:color="auto" w:fill="FEFEFE"/>
        </w:rPr>
        <w:t xml:space="preserve">the other was in </w:t>
      </w:r>
      <w:r>
        <w:rPr>
          <w:shd w:val="clear" w:color="auto" w:fill="FEFEFE"/>
        </w:rPr>
        <w:t>Warren County, both in New Jersey.</w:t>
      </w:r>
    </w:p>
    <w:p w14:paraId="08A446FA" w14:textId="77777777" w:rsidR="007C5516" w:rsidRDefault="007C5516" w:rsidP="007C5516">
      <w:pPr>
        <w:pStyle w:val="NoSpacing"/>
        <w:rPr>
          <w:shd w:val="clear" w:color="auto" w:fill="FEFEFE"/>
        </w:rPr>
      </w:pPr>
    </w:p>
    <w:p w14:paraId="097E504D" w14:textId="74A5BB09" w:rsidR="002442B9" w:rsidRDefault="007C5516" w:rsidP="007C5516">
      <w:pPr>
        <w:pStyle w:val="NoSpacing"/>
        <w:rPr>
          <w:shd w:val="clear" w:color="auto" w:fill="FEFEFE"/>
        </w:rPr>
      </w:pPr>
      <w:r w:rsidRPr="00077D1C">
        <w:rPr>
          <w:szCs w:val="24"/>
          <w:shd w:val="clear" w:color="auto" w:fill="FEFEFE"/>
        </w:rPr>
        <w:t>“</w:t>
      </w:r>
      <w:r w:rsidR="00077D1C">
        <w:rPr>
          <w:szCs w:val="24"/>
          <w:shd w:val="clear" w:color="auto" w:fill="FEFEFE"/>
        </w:rPr>
        <w:t xml:space="preserve">As Gebroe-Hammer Associates continues its focus on multifamily investment sales, our firm has once again established the gold standard in this niche area of specialization,” </w:t>
      </w:r>
      <w:r w:rsidR="00734D37" w:rsidRPr="00077D1C">
        <w:rPr>
          <w:szCs w:val="24"/>
          <w:shd w:val="clear" w:color="auto" w:fill="FEFEFE"/>
        </w:rPr>
        <w:t>said Ken Uranowitz, firm president and a 46-year multifamily brokerage leader.</w:t>
      </w:r>
      <w:r w:rsidR="00DE0B65">
        <w:rPr>
          <w:szCs w:val="24"/>
          <w:shd w:val="clear" w:color="auto" w:fill="FEFEFE"/>
        </w:rPr>
        <w:t xml:space="preserve"> “Apartment-property investments </w:t>
      </w:r>
      <w:r w:rsidRPr="00077D1C">
        <w:rPr>
          <w:shd w:val="clear" w:color="auto" w:fill="FEFEFE"/>
        </w:rPr>
        <w:t>experienced a tremendous pandemic-recovery bounc</w:t>
      </w:r>
      <w:r w:rsidR="00DE0B65">
        <w:rPr>
          <w:shd w:val="clear" w:color="auto" w:fill="FEFEFE"/>
        </w:rPr>
        <w:t xml:space="preserve">e due to </w:t>
      </w:r>
      <w:r w:rsidR="00F26149">
        <w:rPr>
          <w:shd w:val="clear" w:color="auto" w:fill="FEFEFE"/>
        </w:rPr>
        <w:t>pent</w:t>
      </w:r>
      <w:r w:rsidR="00406D77">
        <w:rPr>
          <w:shd w:val="clear" w:color="auto" w:fill="FEFEFE"/>
        </w:rPr>
        <w:t>-</w:t>
      </w:r>
      <w:r w:rsidR="00F26149">
        <w:rPr>
          <w:shd w:val="clear" w:color="auto" w:fill="FEFEFE"/>
        </w:rPr>
        <w:t xml:space="preserve">up demand and </w:t>
      </w:r>
      <w:r w:rsidR="00F2153B">
        <w:rPr>
          <w:shd w:val="clear" w:color="auto" w:fill="FEFEFE"/>
        </w:rPr>
        <w:t xml:space="preserve">an abundance of </w:t>
      </w:r>
      <w:r w:rsidR="00F26149">
        <w:rPr>
          <w:shd w:val="clear" w:color="auto" w:fill="FEFEFE"/>
        </w:rPr>
        <w:t xml:space="preserve">dry powder </w:t>
      </w:r>
      <w:r w:rsidR="00F2153B">
        <w:rPr>
          <w:shd w:val="clear" w:color="auto" w:fill="FEFEFE"/>
        </w:rPr>
        <w:t xml:space="preserve">that went undeployed </w:t>
      </w:r>
      <w:r w:rsidR="00F26149">
        <w:rPr>
          <w:shd w:val="clear" w:color="auto" w:fill="FEFEFE"/>
        </w:rPr>
        <w:t>in 2020</w:t>
      </w:r>
      <w:r w:rsidR="00406D77">
        <w:rPr>
          <w:shd w:val="clear" w:color="auto" w:fill="FEFEFE"/>
        </w:rPr>
        <w:t xml:space="preserve">. </w:t>
      </w:r>
      <w:r w:rsidR="002442B9">
        <w:rPr>
          <w:rFonts w:eastAsia="Times New Roman"/>
        </w:rPr>
        <w:t xml:space="preserve">These conditions were compounded by </w:t>
      </w:r>
      <w:r w:rsidR="00F2153B">
        <w:rPr>
          <w:rFonts w:eastAsia="Times New Roman"/>
        </w:rPr>
        <w:t xml:space="preserve">an </w:t>
      </w:r>
      <w:r w:rsidR="002442B9">
        <w:rPr>
          <w:rFonts w:eastAsia="Times New Roman"/>
        </w:rPr>
        <w:t>anticipat</w:t>
      </w:r>
      <w:r w:rsidR="00F2153B">
        <w:rPr>
          <w:rFonts w:eastAsia="Times New Roman"/>
        </w:rPr>
        <w:t>ed</w:t>
      </w:r>
      <w:r w:rsidR="002442B9">
        <w:rPr>
          <w:rFonts w:eastAsia="Times New Roman"/>
        </w:rPr>
        <w:t xml:space="preserve"> capital gains tax </w:t>
      </w:r>
      <w:r w:rsidR="00F2153B">
        <w:rPr>
          <w:rFonts w:eastAsia="Times New Roman"/>
        </w:rPr>
        <w:t xml:space="preserve">increase </w:t>
      </w:r>
      <w:r w:rsidR="002442B9">
        <w:rPr>
          <w:rFonts w:eastAsia="Times New Roman"/>
        </w:rPr>
        <w:t xml:space="preserve">and elimination of </w:t>
      </w:r>
      <w:r w:rsidR="00F2153B">
        <w:rPr>
          <w:rFonts w:eastAsia="Times New Roman"/>
        </w:rPr>
        <w:t xml:space="preserve">the </w:t>
      </w:r>
      <w:r w:rsidR="002442B9">
        <w:rPr>
          <w:rFonts w:eastAsia="Times New Roman"/>
        </w:rPr>
        <w:t xml:space="preserve">1031 exchange, which </w:t>
      </w:r>
      <w:r w:rsidR="00F13197">
        <w:rPr>
          <w:rFonts w:eastAsia="Times New Roman"/>
        </w:rPr>
        <w:t xml:space="preserve">both </w:t>
      </w:r>
      <w:r w:rsidR="002442B9">
        <w:rPr>
          <w:rFonts w:eastAsia="Times New Roman"/>
        </w:rPr>
        <w:t>now seem unlikely going forward.”</w:t>
      </w:r>
    </w:p>
    <w:p w14:paraId="714285EE" w14:textId="77777777" w:rsidR="002442B9" w:rsidRDefault="002442B9" w:rsidP="007C5516">
      <w:pPr>
        <w:pStyle w:val="NoSpacing"/>
        <w:rPr>
          <w:shd w:val="clear" w:color="auto" w:fill="FEFEFE"/>
        </w:rPr>
      </w:pPr>
    </w:p>
    <w:p w14:paraId="21439A65" w14:textId="3FAFBAAE" w:rsidR="007C5516" w:rsidRPr="00077D1C" w:rsidRDefault="007C5516" w:rsidP="007C5516">
      <w:pPr>
        <w:pStyle w:val="NoSpacing"/>
        <w:rPr>
          <w:shd w:val="clear" w:color="auto" w:fill="FEFEFE"/>
        </w:rPr>
      </w:pPr>
      <w:r w:rsidRPr="00077D1C">
        <w:rPr>
          <w:shd w:val="clear" w:color="auto" w:fill="FEFEFE"/>
        </w:rPr>
        <w:t>“The next 12 months are expected to bring much of the same</w:t>
      </w:r>
      <w:r w:rsidR="00DE0B65">
        <w:rPr>
          <w:shd w:val="clear" w:color="auto" w:fill="FEFEFE"/>
        </w:rPr>
        <w:t>, in terms of the multifamily</w:t>
      </w:r>
      <w:r w:rsidR="009D2502" w:rsidRPr="00077D1C">
        <w:rPr>
          <w:shd w:val="clear" w:color="auto" w:fill="FEFEFE"/>
        </w:rPr>
        <w:t xml:space="preserve"> investment frenzy</w:t>
      </w:r>
      <w:r w:rsidRPr="00077D1C">
        <w:rPr>
          <w:shd w:val="clear" w:color="auto" w:fill="FEFEFE"/>
        </w:rPr>
        <w:t>,</w:t>
      </w:r>
      <w:r w:rsidR="00DE0B65">
        <w:rPr>
          <w:shd w:val="clear" w:color="auto" w:fill="FEFEFE"/>
        </w:rPr>
        <w:t>” said Uranowitz, who has spent his entire brokerage career with Gebroe-Hammer. “C</w:t>
      </w:r>
      <w:r w:rsidRPr="00077D1C">
        <w:rPr>
          <w:rFonts w:cs="Arial"/>
          <w:szCs w:val="24"/>
        </w:rPr>
        <w:t xml:space="preserve">ontinued deal flow and capital velocity </w:t>
      </w:r>
      <w:r w:rsidR="00DE0B65">
        <w:rPr>
          <w:rFonts w:cs="Arial"/>
          <w:szCs w:val="24"/>
        </w:rPr>
        <w:t xml:space="preserve">will </w:t>
      </w:r>
      <w:r w:rsidRPr="00077D1C">
        <w:rPr>
          <w:rFonts w:cs="Arial"/>
          <w:szCs w:val="24"/>
        </w:rPr>
        <w:t>feed record demand, especially among private and institutional investors, funds and lenders</w:t>
      </w:r>
      <w:r w:rsidR="00DE0B65">
        <w:rPr>
          <w:rFonts w:cs="Arial"/>
          <w:szCs w:val="24"/>
        </w:rPr>
        <w:t>.”</w:t>
      </w:r>
    </w:p>
    <w:p w14:paraId="03E1C715" w14:textId="77777777" w:rsidR="007C5516" w:rsidRDefault="007C5516" w:rsidP="007C5516">
      <w:pPr>
        <w:pStyle w:val="NoSpacing"/>
        <w:rPr>
          <w:shd w:val="clear" w:color="auto" w:fill="FEFEFE"/>
        </w:rPr>
      </w:pPr>
      <w:r>
        <w:rPr>
          <w:shd w:val="clear" w:color="auto" w:fill="FEFEFE"/>
        </w:rPr>
        <w:t xml:space="preserve">  </w:t>
      </w:r>
    </w:p>
    <w:p w14:paraId="079F14C0" w14:textId="3BA61217" w:rsidR="007C5516" w:rsidRDefault="007C5516" w:rsidP="007C5516">
      <w:pPr>
        <w:rPr>
          <w:rFonts w:cs="Arial"/>
          <w:szCs w:val="24"/>
          <w:shd w:val="clear" w:color="auto" w:fill="FEFEFE"/>
        </w:rPr>
      </w:pPr>
      <w:r>
        <w:rPr>
          <w:rFonts w:cs="Arial"/>
          <w:szCs w:val="24"/>
          <w:shd w:val="clear" w:color="auto" w:fill="FEFEFE"/>
        </w:rPr>
        <w:t xml:space="preserve">During 2021, Gebroe-Hammer’s highest concentration of sales were scattered throughout New Jersey’s urban and suburban submarkets as well as the South Jersey/Greater Philadelphia Metro. </w:t>
      </w:r>
    </w:p>
    <w:p w14:paraId="28D51F36" w14:textId="73B69579" w:rsidR="00734D37" w:rsidRDefault="009B15E8" w:rsidP="007C5516">
      <w:pPr>
        <w:rPr>
          <w:rFonts w:cs="Arial"/>
          <w:color w:val="333333"/>
        </w:rPr>
      </w:pPr>
      <w:r>
        <w:rPr>
          <w:rFonts w:cs="Arial"/>
          <w:szCs w:val="24"/>
          <w:shd w:val="clear" w:color="auto" w:fill="FEFEFE"/>
        </w:rPr>
        <w:t xml:space="preserve">In North Jersey, </w:t>
      </w:r>
      <w:r w:rsidR="00264BEE">
        <w:rPr>
          <w:rFonts w:cs="Arial"/>
          <w:szCs w:val="24"/>
          <w:shd w:val="clear" w:color="auto" w:fill="FEFEFE"/>
        </w:rPr>
        <w:t xml:space="preserve">county </w:t>
      </w:r>
      <w:r>
        <w:rPr>
          <w:rFonts w:cs="Arial"/>
          <w:szCs w:val="24"/>
          <w:shd w:val="clear" w:color="auto" w:fill="FEFEFE"/>
        </w:rPr>
        <w:t xml:space="preserve">sales </w:t>
      </w:r>
      <w:r w:rsidR="00264BEE">
        <w:rPr>
          <w:rFonts w:cs="Arial"/>
          <w:szCs w:val="24"/>
          <w:shd w:val="clear" w:color="auto" w:fill="FEFEFE"/>
        </w:rPr>
        <w:t xml:space="preserve">totals and </w:t>
      </w:r>
      <w:r>
        <w:rPr>
          <w:rFonts w:cs="Arial"/>
          <w:szCs w:val="24"/>
          <w:shd w:val="clear" w:color="auto" w:fill="FEFEFE"/>
        </w:rPr>
        <w:t>highlights</w:t>
      </w:r>
      <w:r w:rsidR="00264BEE">
        <w:rPr>
          <w:rFonts w:cs="Arial"/>
          <w:szCs w:val="24"/>
          <w:shd w:val="clear" w:color="auto" w:fill="FEFEFE"/>
        </w:rPr>
        <w:t xml:space="preserve"> </w:t>
      </w:r>
      <w:r>
        <w:rPr>
          <w:rFonts w:cs="Arial"/>
          <w:szCs w:val="24"/>
          <w:shd w:val="clear" w:color="auto" w:fill="FEFEFE"/>
        </w:rPr>
        <w:t>included</w:t>
      </w:r>
      <w:r w:rsidR="00734D37">
        <w:rPr>
          <w:rFonts w:cs="Arial"/>
          <w:color w:val="333333"/>
        </w:rPr>
        <w:t>:</w:t>
      </w:r>
    </w:p>
    <w:p w14:paraId="62044F8E" w14:textId="244BBAAD" w:rsidR="00076A3E" w:rsidRPr="00076A3E" w:rsidRDefault="00264BEE" w:rsidP="00076A3E">
      <w:pPr>
        <w:pStyle w:val="ListParagraph"/>
        <w:numPr>
          <w:ilvl w:val="0"/>
          <w:numId w:val="1"/>
        </w:numPr>
        <w:rPr>
          <w:rFonts w:cs="Arial"/>
          <w:szCs w:val="24"/>
          <w:shd w:val="clear" w:color="auto" w:fill="FEFEFE"/>
        </w:rPr>
      </w:pPr>
      <w:r w:rsidRPr="00264BEE">
        <w:rPr>
          <w:rFonts w:cs="Arial"/>
          <w:b/>
          <w:bCs/>
          <w:i/>
          <w:iCs/>
          <w:color w:val="333333"/>
          <w:shd w:val="clear" w:color="auto" w:fill="FFFFFF"/>
        </w:rPr>
        <w:t>Essex County</w:t>
      </w:r>
      <w:r>
        <w:rPr>
          <w:rFonts w:cs="Arial"/>
          <w:color w:val="333333"/>
          <w:shd w:val="clear" w:color="auto" w:fill="FFFFFF"/>
        </w:rPr>
        <w:t xml:space="preserve">: </w:t>
      </w:r>
      <w:r w:rsidR="009B15E8" w:rsidRPr="00605C80">
        <w:rPr>
          <w:rFonts w:cs="Arial"/>
          <w:color w:val="333333"/>
          <w:shd w:val="clear" w:color="auto" w:fill="FFFFFF"/>
        </w:rPr>
        <w:t>$31</w:t>
      </w:r>
      <w:r w:rsidR="004C74AB" w:rsidRPr="00605C80">
        <w:rPr>
          <w:rFonts w:cs="Arial"/>
          <w:color w:val="333333"/>
          <w:shd w:val="clear" w:color="auto" w:fill="FFFFFF"/>
        </w:rPr>
        <w:t>7</w:t>
      </w:r>
      <w:r w:rsidR="009B15E8" w:rsidRPr="00605C80">
        <w:rPr>
          <w:rFonts w:cs="Arial"/>
          <w:color w:val="333333"/>
          <w:shd w:val="clear" w:color="auto" w:fill="FFFFFF"/>
        </w:rPr>
        <w:t>.37M in sales/2</w:t>
      </w:r>
      <w:r w:rsidRPr="00605C80">
        <w:rPr>
          <w:rFonts w:cs="Arial"/>
          <w:color w:val="333333"/>
          <w:shd w:val="clear" w:color="auto" w:fill="FFFFFF"/>
        </w:rPr>
        <w:t>,</w:t>
      </w:r>
      <w:r w:rsidR="000F37D0" w:rsidRPr="00605C80">
        <w:rPr>
          <w:rFonts w:cs="Arial"/>
          <w:color w:val="333333"/>
          <w:shd w:val="clear" w:color="auto" w:fill="FFFFFF"/>
        </w:rPr>
        <w:t>13</w:t>
      </w:r>
      <w:r w:rsidR="0097288C" w:rsidRPr="00605C80">
        <w:rPr>
          <w:rFonts w:cs="Arial"/>
          <w:color w:val="333333"/>
          <w:shd w:val="clear" w:color="auto" w:fill="FFFFFF"/>
        </w:rPr>
        <w:t>7</w:t>
      </w:r>
      <w:r w:rsidR="009B15E8" w:rsidRPr="00605C80">
        <w:rPr>
          <w:rFonts w:cs="Arial"/>
          <w:color w:val="333333"/>
          <w:shd w:val="clear" w:color="auto" w:fill="FFFFFF"/>
        </w:rPr>
        <w:t xml:space="preserve"> units</w:t>
      </w:r>
      <w:r>
        <w:rPr>
          <w:rFonts w:cs="Arial"/>
          <w:color w:val="333333"/>
          <w:shd w:val="clear" w:color="auto" w:fill="FFFFFF"/>
        </w:rPr>
        <w:t xml:space="preserve">, including the </w:t>
      </w:r>
      <w:r w:rsidR="007C5516" w:rsidRPr="00734D37">
        <w:rPr>
          <w:rFonts w:cs="Arial"/>
          <w:color w:val="333333"/>
          <w:shd w:val="clear" w:color="auto" w:fill="FFFFFF"/>
        </w:rPr>
        <w:t>$113M sale of a</w:t>
      </w:r>
      <w:r>
        <w:rPr>
          <w:rFonts w:cs="Arial"/>
          <w:color w:val="333333"/>
          <w:shd w:val="clear" w:color="auto" w:fill="FFFFFF"/>
        </w:rPr>
        <w:t xml:space="preserve">n East Orange </w:t>
      </w:r>
      <w:r w:rsidR="007C5516" w:rsidRPr="00734D37">
        <w:rPr>
          <w:rFonts w:cs="Arial"/>
          <w:color w:val="333333"/>
          <w:shd w:val="clear" w:color="auto" w:fill="FFFFFF"/>
        </w:rPr>
        <w:t>workforce-housing portfolio</w:t>
      </w:r>
    </w:p>
    <w:p w14:paraId="35B25E98" w14:textId="7E7FA66C" w:rsidR="00040AC2" w:rsidRPr="00264BEE" w:rsidRDefault="00264BEE" w:rsidP="00264BEE">
      <w:pPr>
        <w:pStyle w:val="ListParagraph"/>
        <w:numPr>
          <w:ilvl w:val="0"/>
          <w:numId w:val="1"/>
        </w:numPr>
        <w:rPr>
          <w:rFonts w:cs="Arial"/>
          <w:szCs w:val="24"/>
          <w:shd w:val="clear" w:color="auto" w:fill="FEFEFE"/>
        </w:rPr>
      </w:pPr>
      <w:r w:rsidRPr="00264BEE">
        <w:rPr>
          <w:rFonts w:cs="Arial"/>
          <w:b/>
          <w:bCs/>
          <w:i/>
          <w:iCs/>
          <w:color w:val="333333"/>
          <w:shd w:val="clear" w:color="auto" w:fill="FFFFFF"/>
        </w:rPr>
        <w:t>Union County</w:t>
      </w:r>
      <w:r>
        <w:rPr>
          <w:rFonts w:cs="Arial"/>
          <w:color w:val="333333"/>
          <w:shd w:val="clear" w:color="auto" w:fill="FFFFFF"/>
        </w:rPr>
        <w:t xml:space="preserve">: </w:t>
      </w:r>
      <w:r w:rsidRPr="00605C80">
        <w:rPr>
          <w:rFonts w:cs="Arial"/>
          <w:color w:val="333333"/>
          <w:shd w:val="clear" w:color="auto" w:fill="FFFFFF"/>
        </w:rPr>
        <w:t>$2</w:t>
      </w:r>
      <w:r w:rsidR="00A7248B" w:rsidRPr="00605C80">
        <w:rPr>
          <w:rFonts w:cs="Arial"/>
          <w:color w:val="333333"/>
          <w:shd w:val="clear" w:color="auto" w:fill="FFFFFF"/>
        </w:rPr>
        <w:t>17.67</w:t>
      </w:r>
      <w:r w:rsidRPr="00605C80">
        <w:rPr>
          <w:rFonts w:cs="Arial"/>
          <w:color w:val="333333"/>
          <w:shd w:val="clear" w:color="auto" w:fill="FFFFFF"/>
        </w:rPr>
        <w:t>M in sales/1,362 units</w:t>
      </w:r>
      <w:r>
        <w:rPr>
          <w:rFonts w:cs="Arial"/>
          <w:color w:val="333333"/>
          <w:shd w:val="clear" w:color="auto" w:fill="FFFFFF"/>
        </w:rPr>
        <w:t xml:space="preserve">, which involved the </w:t>
      </w:r>
      <w:r w:rsidR="007C5516" w:rsidRPr="00264BEE">
        <w:rPr>
          <w:rFonts w:cs="Arial"/>
          <w:color w:val="333333"/>
        </w:rPr>
        <w:t>$82.72M sale of a</w:t>
      </w:r>
      <w:r>
        <w:rPr>
          <w:rFonts w:cs="Arial"/>
          <w:color w:val="333333"/>
        </w:rPr>
        <w:t xml:space="preserve"> </w:t>
      </w:r>
      <w:r w:rsidR="007C5516" w:rsidRPr="00264BEE">
        <w:rPr>
          <w:rFonts w:cs="Arial"/>
          <w:color w:val="333333"/>
        </w:rPr>
        <w:t>mixed-use portfolio</w:t>
      </w:r>
      <w:r>
        <w:rPr>
          <w:rFonts w:cs="Arial"/>
          <w:color w:val="333333"/>
        </w:rPr>
        <w:t xml:space="preserve"> spanning three municipalities</w:t>
      </w:r>
    </w:p>
    <w:p w14:paraId="1793068D" w14:textId="3EBD0E7C" w:rsidR="00264BEE" w:rsidRPr="00264BEE" w:rsidRDefault="00264BEE" w:rsidP="00EE3868">
      <w:pPr>
        <w:pStyle w:val="ListParagraph"/>
        <w:numPr>
          <w:ilvl w:val="0"/>
          <w:numId w:val="1"/>
        </w:numPr>
        <w:rPr>
          <w:rFonts w:cs="Arial"/>
          <w:szCs w:val="24"/>
          <w:shd w:val="clear" w:color="auto" w:fill="FEFEFE"/>
        </w:rPr>
      </w:pPr>
      <w:r w:rsidRPr="00321E37">
        <w:rPr>
          <w:b/>
          <w:bCs/>
          <w:i/>
          <w:iCs/>
          <w:shd w:val="clear" w:color="auto" w:fill="FFFFFF"/>
        </w:rPr>
        <w:t>Hudson County</w:t>
      </w:r>
      <w:r>
        <w:rPr>
          <w:shd w:val="clear" w:color="auto" w:fill="FFFFFF"/>
        </w:rPr>
        <w:t>:</w:t>
      </w:r>
      <w:r w:rsidR="00321E37">
        <w:rPr>
          <w:shd w:val="clear" w:color="auto" w:fill="FFFFFF"/>
        </w:rPr>
        <w:t xml:space="preserve"> </w:t>
      </w:r>
      <w:r w:rsidR="00321E37" w:rsidRPr="00605C80">
        <w:rPr>
          <w:shd w:val="clear" w:color="auto" w:fill="FFFFFF"/>
        </w:rPr>
        <w:t>$170.79M in sales/861 units</w:t>
      </w:r>
      <w:r w:rsidR="00A85F98">
        <w:rPr>
          <w:shd w:val="clear" w:color="auto" w:fill="FFFFFF"/>
        </w:rPr>
        <w:t xml:space="preserve">, among which was </w:t>
      </w:r>
      <w:r w:rsidR="00321E37">
        <w:rPr>
          <w:shd w:val="clear" w:color="auto" w:fill="FFFFFF"/>
        </w:rPr>
        <w:t>a 200+ unit</w:t>
      </w:r>
      <w:r w:rsidR="00A85F98">
        <w:rPr>
          <w:shd w:val="clear" w:color="auto" w:fill="FFFFFF"/>
        </w:rPr>
        <w:t xml:space="preserve"> </w:t>
      </w:r>
      <w:r w:rsidR="00321E37" w:rsidRPr="00D9173B">
        <w:t>apartment</w:t>
      </w:r>
      <w:r w:rsidR="00321E37">
        <w:t>-home</w:t>
      </w:r>
      <w:r w:rsidR="00321E37" w:rsidRPr="00D9173B">
        <w:t xml:space="preserve"> community </w:t>
      </w:r>
      <w:r w:rsidR="00321E37" w:rsidRPr="00321E37">
        <w:t>fronting Boulevard East</w:t>
      </w:r>
      <w:r w:rsidR="00A85F98">
        <w:t xml:space="preserve"> – the area’s primary commercial corridor</w:t>
      </w:r>
    </w:p>
    <w:p w14:paraId="16AA291B" w14:textId="5EE202EC" w:rsidR="00447AF7" w:rsidRPr="00A85F98" w:rsidRDefault="00447AF7" w:rsidP="00447AF7">
      <w:pPr>
        <w:pStyle w:val="ListParagraph"/>
        <w:numPr>
          <w:ilvl w:val="0"/>
          <w:numId w:val="1"/>
        </w:numPr>
        <w:rPr>
          <w:rFonts w:cs="Arial"/>
          <w:szCs w:val="24"/>
          <w:shd w:val="clear" w:color="auto" w:fill="FEFEFE"/>
        </w:rPr>
      </w:pPr>
      <w:r w:rsidRPr="00447AF7">
        <w:rPr>
          <w:b/>
          <w:bCs/>
          <w:i/>
          <w:iCs/>
        </w:rPr>
        <w:lastRenderedPageBreak/>
        <w:t>Morris</w:t>
      </w:r>
      <w:r w:rsidRPr="00447AF7">
        <w:rPr>
          <w:rFonts w:cs="Arial"/>
          <w:b/>
          <w:bCs/>
          <w:i/>
          <w:iCs/>
          <w:szCs w:val="24"/>
          <w:shd w:val="clear" w:color="auto" w:fill="FEFEFE"/>
        </w:rPr>
        <w:t>-Sussex-Warren Counties</w:t>
      </w:r>
      <w:r>
        <w:rPr>
          <w:rFonts w:cs="Arial"/>
          <w:szCs w:val="24"/>
          <w:shd w:val="clear" w:color="auto" w:fill="FEFEFE"/>
        </w:rPr>
        <w:t xml:space="preserve">: </w:t>
      </w:r>
      <w:r w:rsidRPr="00605C80">
        <w:rPr>
          <w:rFonts w:cs="Arial"/>
          <w:szCs w:val="24"/>
          <w:shd w:val="clear" w:color="auto" w:fill="FEFEFE"/>
        </w:rPr>
        <w:t>$89.94</w:t>
      </w:r>
      <w:r w:rsidR="00F67BA7" w:rsidRPr="00605C80">
        <w:rPr>
          <w:rFonts w:cs="Arial"/>
          <w:szCs w:val="24"/>
          <w:shd w:val="clear" w:color="auto" w:fill="FEFEFE"/>
        </w:rPr>
        <w:t>M</w:t>
      </w:r>
      <w:r w:rsidRPr="00605C80">
        <w:rPr>
          <w:rFonts w:cs="Arial"/>
          <w:szCs w:val="24"/>
          <w:shd w:val="clear" w:color="auto" w:fill="FEFEFE"/>
        </w:rPr>
        <w:t>/</w:t>
      </w:r>
      <w:r w:rsidR="009C51E4" w:rsidRPr="00605C80">
        <w:rPr>
          <w:rFonts w:cs="Arial"/>
          <w:szCs w:val="24"/>
          <w:shd w:val="clear" w:color="auto" w:fill="FEFEFE"/>
        </w:rPr>
        <w:t>428</w:t>
      </w:r>
      <w:r w:rsidRPr="00605C80">
        <w:rPr>
          <w:rFonts w:cs="Arial"/>
          <w:szCs w:val="24"/>
          <w:shd w:val="clear" w:color="auto" w:fill="FEFEFE"/>
        </w:rPr>
        <w:t xml:space="preserve"> units</w:t>
      </w:r>
      <w:r>
        <w:rPr>
          <w:rFonts w:cs="Arial"/>
          <w:szCs w:val="24"/>
          <w:shd w:val="clear" w:color="auto" w:fill="FEFEFE"/>
        </w:rPr>
        <w:t>, including the sale of a</w:t>
      </w:r>
      <w:r w:rsidR="00415CB6">
        <w:rPr>
          <w:rFonts w:cs="Arial"/>
          <w:szCs w:val="24"/>
          <w:shd w:val="clear" w:color="auto" w:fill="FEFEFE"/>
        </w:rPr>
        <w:t xml:space="preserve"> </w:t>
      </w:r>
      <w:r w:rsidR="00574747">
        <w:rPr>
          <w:rFonts w:cs="Arial"/>
          <w:szCs w:val="24"/>
          <w:shd w:val="clear" w:color="auto" w:fill="FEFEFE"/>
        </w:rPr>
        <w:t xml:space="preserve">200+-unit legacy garden-style property that sold for </w:t>
      </w:r>
      <w:r w:rsidR="00415CB6">
        <w:rPr>
          <w:rFonts w:cs="Arial"/>
          <w:szCs w:val="24"/>
          <w:shd w:val="clear" w:color="auto" w:fill="FEFEFE"/>
        </w:rPr>
        <w:t>$50+</w:t>
      </w:r>
      <w:r w:rsidR="00574747">
        <w:rPr>
          <w:rFonts w:cs="Arial"/>
          <w:szCs w:val="24"/>
          <w:shd w:val="clear" w:color="auto" w:fill="FEFEFE"/>
        </w:rPr>
        <w:t>M</w:t>
      </w:r>
    </w:p>
    <w:p w14:paraId="626A518D" w14:textId="77777777" w:rsidR="00E332FA" w:rsidRPr="00E332FA" w:rsidRDefault="00A85F98" w:rsidP="007C5516">
      <w:pPr>
        <w:pStyle w:val="ListParagraph"/>
        <w:numPr>
          <w:ilvl w:val="0"/>
          <w:numId w:val="1"/>
        </w:numPr>
        <w:rPr>
          <w:rFonts w:cs="Arial"/>
          <w:szCs w:val="24"/>
          <w:shd w:val="clear" w:color="auto" w:fill="FEFEFE"/>
        </w:rPr>
      </w:pPr>
      <w:r w:rsidRPr="00A85F98">
        <w:rPr>
          <w:b/>
          <w:bCs/>
          <w:i/>
          <w:iCs/>
        </w:rPr>
        <w:t>Bergen/Passaic Counties</w:t>
      </w:r>
      <w:r>
        <w:t xml:space="preserve">: </w:t>
      </w:r>
      <w:r w:rsidRPr="00605C80">
        <w:t>$52.36M in sales/</w:t>
      </w:r>
      <w:r w:rsidR="000F37D0" w:rsidRPr="00605C80">
        <w:t>311</w:t>
      </w:r>
      <w:r w:rsidRPr="00605C80">
        <w:t xml:space="preserve"> units</w:t>
      </w:r>
      <w:r>
        <w:t>, including the $22.75M trade of a 118-unit high-rise</w:t>
      </w:r>
      <w:r w:rsidR="000B1899">
        <w:t xml:space="preserve">     </w:t>
      </w:r>
    </w:p>
    <w:p w14:paraId="32A2CE90" w14:textId="2A3C4FB9" w:rsidR="007C5516" w:rsidRPr="00E332FA" w:rsidRDefault="007C5516" w:rsidP="00E332FA">
      <w:pPr>
        <w:rPr>
          <w:rFonts w:cs="Arial"/>
          <w:szCs w:val="24"/>
          <w:shd w:val="clear" w:color="auto" w:fill="FEFEFE"/>
        </w:rPr>
      </w:pPr>
      <w:r w:rsidRPr="00E332FA">
        <w:rPr>
          <w:rFonts w:cs="Arial"/>
          <w:szCs w:val="24"/>
          <w:shd w:val="clear" w:color="auto" w:fill="FEFEFE"/>
        </w:rPr>
        <w:t>“Gateway markets – cities and high-building, high-population-density train line suburbs – created a sustained shortage of available for-sale product in what has become known as ‘transit villages,’ which continue to be investment magnets,” said Executive Managing Director David Oropeza, one of the nation’s leading urban</w:t>
      </w:r>
      <w:r w:rsidR="001712A1">
        <w:rPr>
          <w:rFonts w:cs="Arial"/>
          <w:szCs w:val="24"/>
          <w:shd w:val="clear" w:color="auto" w:fill="FEFEFE"/>
        </w:rPr>
        <w:t>-</w:t>
      </w:r>
      <w:r w:rsidRPr="00E332FA">
        <w:rPr>
          <w:rFonts w:cs="Arial"/>
          <w:szCs w:val="24"/>
          <w:shd w:val="clear" w:color="auto" w:fill="FEFEFE"/>
        </w:rPr>
        <w:t>market specialists who was recognized in 2021</w:t>
      </w:r>
      <w:r w:rsidR="001712A1">
        <w:rPr>
          <w:rFonts w:cs="Arial"/>
          <w:szCs w:val="24"/>
          <w:shd w:val="clear" w:color="auto" w:fill="FEFEFE"/>
        </w:rPr>
        <w:t xml:space="preserve"> </w:t>
      </w:r>
      <w:r w:rsidRPr="00E332FA">
        <w:rPr>
          <w:rFonts w:cs="Arial"/>
          <w:szCs w:val="24"/>
          <w:shd w:val="clear" w:color="auto" w:fill="FEFEFE"/>
        </w:rPr>
        <w:t>as a Multifamily Influencer.</w:t>
      </w:r>
    </w:p>
    <w:p w14:paraId="3A4EC9CB" w14:textId="2864CDA1" w:rsidR="0053061E" w:rsidRDefault="007C5516" w:rsidP="007C5516">
      <w:pPr>
        <w:rPr>
          <w:rFonts w:cs="Arial"/>
          <w:szCs w:val="24"/>
          <w:shd w:val="clear" w:color="auto" w:fill="FEFEFE"/>
        </w:rPr>
      </w:pPr>
      <w:r>
        <w:rPr>
          <w:rFonts w:cs="Arial"/>
          <w:szCs w:val="24"/>
          <w:shd w:val="clear" w:color="auto" w:fill="FEFEFE"/>
        </w:rPr>
        <w:t>Central New Jersey also drew abundant multifamily investment across virtually every multifamily investment pocket, from Somerset and Middlesex to Monmouth, Ocean and Mercer counties</w:t>
      </w:r>
      <w:r w:rsidR="007359C7">
        <w:rPr>
          <w:rFonts w:cs="Arial"/>
          <w:szCs w:val="24"/>
          <w:shd w:val="clear" w:color="auto" w:fill="FEFEFE"/>
        </w:rPr>
        <w:t xml:space="preserve">. </w:t>
      </w:r>
      <w:r w:rsidR="008D606C">
        <w:rPr>
          <w:rFonts w:cs="Arial"/>
          <w:szCs w:val="24"/>
          <w:shd w:val="clear" w:color="auto" w:fill="FEFEFE"/>
        </w:rPr>
        <w:t>Featured</w:t>
      </w:r>
      <w:r w:rsidR="001A32A9">
        <w:rPr>
          <w:rFonts w:cs="Arial"/>
          <w:szCs w:val="24"/>
          <w:shd w:val="clear" w:color="auto" w:fill="FEFEFE"/>
        </w:rPr>
        <w:t xml:space="preserve"> sales include</w:t>
      </w:r>
      <w:r w:rsidR="0053061E">
        <w:rPr>
          <w:rFonts w:cs="Arial"/>
          <w:szCs w:val="24"/>
          <w:shd w:val="clear" w:color="auto" w:fill="FEFEFE"/>
        </w:rPr>
        <w:t>:</w:t>
      </w:r>
    </w:p>
    <w:p w14:paraId="657018C0" w14:textId="3F162FBF" w:rsidR="00D444C8" w:rsidRPr="00DC4561" w:rsidRDefault="00D444C8" w:rsidP="00DC4561">
      <w:pPr>
        <w:pStyle w:val="ListParagraph"/>
        <w:numPr>
          <w:ilvl w:val="0"/>
          <w:numId w:val="2"/>
        </w:numPr>
        <w:rPr>
          <w:rFonts w:cs="Arial"/>
          <w:szCs w:val="24"/>
          <w:shd w:val="clear" w:color="auto" w:fill="FEFEFE"/>
        </w:rPr>
      </w:pPr>
      <w:r w:rsidRPr="00DC4561">
        <w:rPr>
          <w:rFonts w:cs="Arial"/>
          <w:b/>
          <w:bCs/>
          <w:i/>
          <w:iCs/>
          <w:szCs w:val="24"/>
          <w:shd w:val="clear" w:color="auto" w:fill="FEFEFE"/>
        </w:rPr>
        <w:t>Mercer County</w:t>
      </w:r>
      <w:r>
        <w:rPr>
          <w:rFonts w:cs="Arial"/>
          <w:szCs w:val="24"/>
          <w:shd w:val="clear" w:color="auto" w:fill="FEFEFE"/>
        </w:rPr>
        <w:t xml:space="preserve">: </w:t>
      </w:r>
      <w:r w:rsidRPr="00605C80">
        <w:rPr>
          <w:rFonts w:cs="Arial"/>
          <w:szCs w:val="24"/>
          <w:shd w:val="clear" w:color="auto" w:fill="FEFEFE"/>
        </w:rPr>
        <w:t>258 units/$80.43M</w:t>
      </w:r>
      <w:r w:rsidR="00DC4561">
        <w:rPr>
          <w:rFonts w:cs="Arial"/>
          <w:szCs w:val="24"/>
          <w:shd w:val="clear" w:color="auto" w:fill="FEFEFE"/>
        </w:rPr>
        <w:t xml:space="preserve">, where the firm closed the </w:t>
      </w:r>
      <w:r w:rsidR="00DC4561" w:rsidRPr="0053061E">
        <w:rPr>
          <w:rFonts w:cs="Arial"/>
          <w:szCs w:val="24"/>
          <w:shd w:val="clear" w:color="auto" w:fill="FEFEFE"/>
        </w:rPr>
        <w:t xml:space="preserve">$65+M </w:t>
      </w:r>
      <w:r w:rsidR="00DC4561">
        <w:rPr>
          <w:rFonts w:cs="Arial"/>
          <w:szCs w:val="24"/>
          <w:shd w:val="clear" w:color="auto" w:fill="FEFEFE"/>
        </w:rPr>
        <w:t>trade</w:t>
      </w:r>
      <w:r w:rsidR="00DC4561" w:rsidRPr="0053061E">
        <w:rPr>
          <w:rFonts w:cs="Arial"/>
          <w:szCs w:val="24"/>
          <w:shd w:val="clear" w:color="auto" w:fill="FEFEFE"/>
        </w:rPr>
        <w:t xml:space="preserve"> of a new-construction luxury apartment complex</w:t>
      </w:r>
    </w:p>
    <w:p w14:paraId="66D42A49" w14:textId="5AEC1C15" w:rsidR="00D444C8" w:rsidRDefault="00D444C8" w:rsidP="0053061E">
      <w:pPr>
        <w:pStyle w:val="ListParagraph"/>
        <w:numPr>
          <w:ilvl w:val="0"/>
          <w:numId w:val="2"/>
        </w:numPr>
        <w:rPr>
          <w:rFonts w:cs="Arial"/>
          <w:szCs w:val="24"/>
          <w:shd w:val="clear" w:color="auto" w:fill="FEFEFE"/>
        </w:rPr>
      </w:pPr>
      <w:r w:rsidRPr="00DC4561">
        <w:rPr>
          <w:rFonts w:cs="Arial"/>
          <w:b/>
          <w:bCs/>
          <w:i/>
          <w:iCs/>
          <w:szCs w:val="24"/>
          <w:shd w:val="clear" w:color="auto" w:fill="FEFEFE"/>
        </w:rPr>
        <w:t>Middlesex County</w:t>
      </w:r>
      <w:r>
        <w:rPr>
          <w:rFonts w:cs="Arial"/>
          <w:szCs w:val="24"/>
          <w:shd w:val="clear" w:color="auto" w:fill="FEFEFE"/>
        </w:rPr>
        <w:t xml:space="preserve">: </w:t>
      </w:r>
      <w:r w:rsidRPr="00605C80">
        <w:rPr>
          <w:rFonts w:cs="Arial"/>
          <w:szCs w:val="24"/>
          <w:shd w:val="clear" w:color="auto" w:fill="FEFEFE"/>
        </w:rPr>
        <w:t>949</w:t>
      </w:r>
      <w:r w:rsidR="00DC4561" w:rsidRPr="00605C80">
        <w:rPr>
          <w:rFonts w:cs="Arial"/>
          <w:szCs w:val="24"/>
          <w:shd w:val="clear" w:color="auto" w:fill="FEFEFE"/>
        </w:rPr>
        <w:t xml:space="preserve"> units</w:t>
      </w:r>
      <w:r w:rsidRPr="00605C80">
        <w:rPr>
          <w:rFonts w:cs="Arial"/>
          <w:szCs w:val="24"/>
          <w:shd w:val="clear" w:color="auto" w:fill="FEFEFE"/>
        </w:rPr>
        <w:t>/</w:t>
      </w:r>
      <w:r w:rsidR="00DC4561" w:rsidRPr="00605C80">
        <w:rPr>
          <w:rFonts w:cs="Arial"/>
          <w:szCs w:val="24"/>
          <w:shd w:val="clear" w:color="auto" w:fill="FEFEFE"/>
        </w:rPr>
        <w:t>$</w:t>
      </w:r>
      <w:r w:rsidRPr="00605C80">
        <w:rPr>
          <w:rFonts w:cs="Arial"/>
          <w:szCs w:val="24"/>
          <w:shd w:val="clear" w:color="auto" w:fill="FEFEFE"/>
        </w:rPr>
        <w:t>240.18</w:t>
      </w:r>
      <w:r w:rsidR="00DC4561" w:rsidRPr="00605C80">
        <w:rPr>
          <w:rFonts w:cs="Arial"/>
          <w:szCs w:val="24"/>
          <w:shd w:val="clear" w:color="auto" w:fill="FEFEFE"/>
        </w:rPr>
        <w:t>M</w:t>
      </w:r>
      <w:r w:rsidR="00DC4561">
        <w:rPr>
          <w:rFonts w:cs="Arial"/>
          <w:szCs w:val="24"/>
          <w:shd w:val="clear" w:color="auto" w:fill="FEFEFE"/>
        </w:rPr>
        <w:t>, including the</w:t>
      </w:r>
      <w:r w:rsidR="007E11D4">
        <w:rPr>
          <w:rFonts w:cs="Arial"/>
          <w:szCs w:val="24"/>
          <w:shd w:val="clear" w:color="auto" w:fill="FEFEFE"/>
        </w:rPr>
        <w:t xml:space="preserve"> sale of </w:t>
      </w:r>
      <w:r w:rsidR="000E2F16">
        <w:rPr>
          <w:rFonts w:cs="Arial"/>
          <w:szCs w:val="24"/>
          <w:shd w:val="clear" w:color="auto" w:fill="FEFEFE"/>
        </w:rPr>
        <w:t xml:space="preserve">a </w:t>
      </w:r>
      <w:r w:rsidR="00E2535F">
        <w:rPr>
          <w:rFonts w:cs="Arial"/>
          <w:szCs w:val="24"/>
          <w:shd w:val="clear" w:color="auto" w:fill="FEFEFE"/>
        </w:rPr>
        <w:t>500+ unit</w:t>
      </w:r>
      <w:r w:rsidR="00076A3E">
        <w:rPr>
          <w:rFonts w:cs="Arial"/>
          <w:szCs w:val="24"/>
          <w:shd w:val="clear" w:color="auto" w:fill="FEFEFE"/>
        </w:rPr>
        <w:t xml:space="preserve"> complex</w:t>
      </w:r>
      <w:r w:rsidR="00E2535F">
        <w:rPr>
          <w:rFonts w:cs="Arial"/>
          <w:szCs w:val="24"/>
          <w:shd w:val="clear" w:color="auto" w:fill="FEFEFE"/>
        </w:rPr>
        <w:t xml:space="preserve"> that sold for $150+M</w:t>
      </w:r>
    </w:p>
    <w:p w14:paraId="335C1679" w14:textId="44686550" w:rsidR="00E332FA" w:rsidRPr="00E332FA" w:rsidRDefault="00D444C8" w:rsidP="00E332FA">
      <w:pPr>
        <w:pStyle w:val="ListParagraph"/>
        <w:numPr>
          <w:ilvl w:val="0"/>
          <w:numId w:val="2"/>
        </w:numPr>
        <w:rPr>
          <w:rFonts w:cs="Arial"/>
          <w:szCs w:val="24"/>
          <w:shd w:val="clear" w:color="auto" w:fill="FEFEFE"/>
        </w:rPr>
      </w:pPr>
      <w:r w:rsidRPr="00DC4561">
        <w:rPr>
          <w:rFonts w:cs="Arial"/>
          <w:b/>
          <w:bCs/>
          <w:i/>
          <w:iCs/>
          <w:szCs w:val="24"/>
          <w:shd w:val="clear" w:color="auto" w:fill="FEFEFE"/>
        </w:rPr>
        <w:t xml:space="preserve">Monmouth </w:t>
      </w:r>
      <w:r w:rsidR="007E11D4">
        <w:rPr>
          <w:rFonts w:cs="Arial"/>
          <w:b/>
          <w:bCs/>
          <w:i/>
          <w:iCs/>
          <w:szCs w:val="24"/>
          <w:shd w:val="clear" w:color="auto" w:fill="FEFEFE"/>
        </w:rPr>
        <w:t xml:space="preserve">&amp; Ocean </w:t>
      </w:r>
      <w:r w:rsidRPr="00DC4561">
        <w:rPr>
          <w:rFonts w:cs="Arial"/>
          <w:b/>
          <w:bCs/>
          <w:i/>
          <w:iCs/>
          <w:szCs w:val="24"/>
          <w:shd w:val="clear" w:color="auto" w:fill="FEFEFE"/>
        </w:rPr>
        <w:t>Count</w:t>
      </w:r>
      <w:r w:rsidR="007E11D4">
        <w:rPr>
          <w:rFonts w:cs="Arial"/>
          <w:b/>
          <w:bCs/>
          <w:i/>
          <w:iCs/>
          <w:szCs w:val="24"/>
          <w:shd w:val="clear" w:color="auto" w:fill="FEFEFE"/>
        </w:rPr>
        <w:t>ies</w:t>
      </w:r>
      <w:r>
        <w:rPr>
          <w:rFonts w:cs="Arial"/>
          <w:szCs w:val="24"/>
          <w:shd w:val="clear" w:color="auto" w:fill="FEFEFE"/>
        </w:rPr>
        <w:t xml:space="preserve">: </w:t>
      </w:r>
      <w:r w:rsidRPr="00605C80">
        <w:rPr>
          <w:rFonts w:cs="Arial"/>
          <w:szCs w:val="24"/>
          <w:shd w:val="clear" w:color="auto" w:fill="FEFEFE"/>
        </w:rPr>
        <w:t>3</w:t>
      </w:r>
      <w:r w:rsidR="007E11D4" w:rsidRPr="00605C80">
        <w:rPr>
          <w:rFonts w:cs="Arial"/>
          <w:szCs w:val="24"/>
          <w:shd w:val="clear" w:color="auto" w:fill="FEFEFE"/>
        </w:rPr>
        <w:t>83</w:t>
      </w:r>
      <w:r w:rsidRPr="00605C80">
        <w:rPr>
          <w:rFonts w:cs="Arial"/>
          <w:szCs w:val="24"/>
          <w:shd w:val="clear" w:color="auto" w:fill="FEFEFE"/>
        </w:rPr>
        <w:t xml:space="preserve"> units/$</w:t>
      </w:r>
      <w:r w:rsidR="007E11D4" w:rsidRPr="00605C80">
        <w:rPr>
          <w:rFonts w:cs="Arial"/>
          <w:szCs w:val="24"/>
          <w:shd w:val="clear" w:color="auto" w:fill="FEFEFE"/>
        </w:rPr>
        <w:t>8</w:t>
      </w:r>
      <w:r w:rsidR="00136CCD" w:rsidRPr="00605C80">
        <w:rPr>
          <w:rFonts w:cs="Arial"/>
          <w:szCs w:val="24"/>
          <w:shd w:val="clear" w:color="auto" w:fill="FEFEFE"/>
        </w:rPr>
        <w:t>6.15</w:t>
      </w:r>
      <w:r w:rsidRPr="00605C80">
        <w:rPr>
          <w:rFonts w:cs="Arial"/>
          <w:szCs w:val="24"/>
          <w:shd w:val="clear" w:color="auto" w:fill="FEFEFE"/>
        </w:rPr>
        <w:t>M</w:t>
      </w:r>
      <w:r>
        <w:rPr>
          <w:rFonts w:cs="Arial"/>
          <w:szCs w:val="24"/>
          <w:shd w:val="clear" w:color="auto" w:fill="FEFEFE"/>
        </w:rPr>
        <w:t xml:space="preserve">, among which was the sale of a </w:t>
      </w:r>
      <w:r w:rsidR="00E2535F">
        <w:rPr>
          <w:rFonts w:cs="Arial"/>
          <w:szCs w:val="24"/>
          <w:shd w:val="clear" w:color="auto" w:fill="FEFEFE"/>
        </w:rPr>
        <w:t>300-unit garden apartment property that sold for $70+M</w:t>
      </w:r>
    </w:p>
    <w:p w14:paraId="67F703B2" w14:textId="0B034975" w:rsidR="00E2535F" w:rsidRPr="00E2535F" w:rsidRDefault="00D444C8" w:rsidP="00E2535F">
      <w:pPr>
        <w:pStyle w:val="ListParagraph"/>
        <w:numPr>
          <w:ilvl w:val="0"/>
          <w:numId w:val="2"/>
        </w:numPr>
        <w:rPr>
          <w:rFonts w:cs="Arial"/>
          <w:szCs w:val="24"/>
          <w:shd w:val="clear" w:color="auto" w:fill="FEFEFE"/>
        </w:rPr>
      </w:pPr>
      <w:r w:rsidRPr="00DC4561">
        <w:rPr>
          <w:rFonts w:cs="Arial"/>
          <w:b/>
          <w:bCs/>
          <w:i/>
          <w:iCs/>
          <w:szCs w:val="24"/>
          <w:shd w:val="clear" w:color="auto" w:fill="FEFEFE"/>
        </w:rPr>
        <w:t>Somerset County</w:t>
      </w:r>
      <w:r>
        <w:rPr>
          <w:rFonts w:cs="Arial"/>
          <w:szCs w:val="24"/>
          <w:shd w:val="clear" w:color="auto" w:fill="FEFEFE"/>
        </w:rPr>
        <w:t xml:space="preserve">: </w:t>
      </w:r>
      <w:r w:rsidRPr="00605C80">
        <w:rPr>
          <w:rFonts w:cs="Arial"/>
          <w:szCs w:val="24"/>
          <w:shd w:val="clear" w:color="auto" w:fill="FEFEFE"/>
        </w:rPr>
        <w:t>151</w:t>
      </w:r>
      <w:r w:rsidR="00DC4561" w:rsidRPr="00605C80">
        <w:rPr>
          <w:rFonts w:cs="Arial"/>
          <w:szCs w:val="24"/>
          <w:shd w:val="clear" w:color="auto" w:fill="FEFEFE"/>
        </w:rPr>
        <w:t xml:space="preserve"> units</w:t>
      </w:r>
      <w:r w:rsidRPr="00605C80">
        <w:rPr>
          <w:rFonts w:cs="Arial"/>
          <w:szCs w:val="24"/>
          <w:shd w:val="clear" w:color="auto" w:fill="FEFEFE"/>
        </w:rPr>
        <w:t>/</w:t>
      </w:r>
      <w:r w:rsidR="00DC4561" w:rsidRPr="00605C80">
        <w:rPr>
          <w:rFonts w:cs="Arial"/>
          <w:szCs w:val="24"/>
          <w:shd w:val="clear" w:color="auto" w:fill="FEFEFE"/>
        </w:rPr>
        <w:t>$</w:t>
      </w:r>
      <w:r w:rsidRPr="00605C80">
        <w:rPr>
          <w:rFonts w:cs="Arial"/>
          <w:szCs w:val="24"/>
          <w:shd w:val="clear" w:color="auto" w:fill="FEFEFE"/>
        </w:rPr>
        <w:t>34.99</w:t>
      </w:r>
      <w:r w:rsidR="00DC4561" w:rsidRPr="00605C80">
        <w:rPr>
          <w:rFonts w:cs="Arial"/>
          <w:szCs w:val="24"/>
          <w:shd w:val="clear" w:color="auto" w:fill="FEFEFE"/>
        </w:rPr>
        <w:t>M</w:t>
      </w:r>
      <w:r w:rsidR="00B678E0">
        <w:rPr>
          <w:rFonts w:cs="Arial"/>
          <w:szCs w:val="24"/>
          <w:shd w:val="clear" w:color="auto" w:fill="FEFEFE"/>
        </w:rPr>
        <w:t>, where the sale of a prominent garden-apartment community recorded a $248,000+ per-unit price</w:t>
      </w:r>
    </w:p>
    <w:p w14:paraId="0007020F" w14:textId="00932195" w:rsidR="0053061E" w:rsidRPr="00DC4561" w:rsidRDefault="00794358" w:rsidP="00DC4561">
      <w:pPr>
        <w:rPr>
          <w:rFonts w:cs="Arial"/>
          <w:szCs w:val="24"/>
          <w:shd w:val="clear" w:color="auto" w:fill="FEFEFE"/>
        </w:rPr>
      </w:pPr>
      <w:r w:rsidRPr="00DC4561">
        <w:rPr>
          <w:rFonts w:cs="Arial"/>
          <w:szCs w:val="24"/>
          <w:shd w:val="clear" w:color="auto" w:fill="FEFEFE"/>
        </w:rPr>
        <w:t>To the south, in</w:t>
      </w:r>
      <w:r w:rsidR="007C5516" w:rsidRPr="00DC4561">
        <w:rPr>
          <w:rFonts w:cs="Arial"/>
          <w:szCs w:val="24"/>
          <w:shd w:val="clear" w:color="auto" w:fill="FEFEFE"/>
        </w:rPr>
        <w:t xml:space="preserve"> the South Jersey/Greater Philadelphia Metro, </w:t>
      </w:r>
      <w:r w:rsidR="00C40027" w:rsidRPr="00DC4561">
        <w:rPr>
          <w:rFonts w:cs="Arial"/>
          <w:szCs w:val="24"/>
          <w:shd w:val="clear" w:color="auto" w:fill="FEFEFE"/>
        </w:rPr>
        <w:t>Gebroe-Hammer’s market specialists</w:t>
      </w:r>
      <w:r w:rsidR="007750DD">
        <w:rPr>
          <w:rFonts w:cs="Arial"/>
          <w:szCs w:val="24"/>
          <w:shd w:val="clear" w:color="auto" w:fill="FEFEFE"/>
        </w:rPr>
        <w:t>’ sales activity spanned the following counties</w:t>
      </w:r>
      <w:r w:rsidR="0053061E" w:rsidRPr="00DC4561">
        <w:rPr>
          <w:rFonts w:cs="Arial"/>
          <w:szCs w:val="24"/>
          <w:shd w:val="clear" w:color="auto" w:fill="FEFEFE"/>
        </w:rPr>
        <w:t>:</w:t>
      </w:r>
      <w:r w:rsidR="00C40027" w:rsidRPr="00DC4561">
        <w:rPr>
          <w:rFonts w:cs="Arial"/>
          <w:szCs w:val="24"/>
          <w:shd w:val="clear" w:color="auto" w:fill="FEFEFE"/>
        </w:rPr>
        <w:t xml:space="preserve"> </w:t>
      </w:r>
    </w:p>
    <w:p w14:paraId="7021F930" w14:textId="2A198DD8" w:rsidR="00BB0A11" w:rsidRDefault="00BB0A11" w:rsidP="00BB0A11">
      <w:pPr>
        <w:pStyle w:val="ListParagraph"/>
        <w:numPr>
          <w:ilvl w:val="0"/>
          <w:numId w:val="3"/>
        </w:numPr>
        <w:rPr>
          <w:rFonts w:cs="Arial"/>
          <w:szCs w:val="24"/>
          <w:shd w:val="clear" w:color="auto" w:fill="FEFEFE"/>
        </w:rPr>
      </w:pPr>
      <w:r>
        <w:rPr>
          <w:rFonts w:cs="Arial"/>
          <w:b/>
          <w:bCs/>
          <w:i/>
          <w:iCs/>
          <w:szCs w:val="24"/>
          <w:shd w:val="clear" w:color="auto" w:fill="FEFEFE"/>
        </w:rPr>
        <w:t xml:space="preserve">Atlantic &amp; </w:t>
      </w:r>
      <w:r w:rsidRPr="0048453E">
        <w:rPr>
          <w:rFonts w:cs="Arial"/>
          <w:b/>
          <w:bCs/>
          <w:i/>
          <w:iCs/>
          <w:szCs w:val="24"/>
          <w:shd w:val="clear" w:color="auto" w:fill="FEFEFE"/>
        </w:rPr>
        <w:t>Camden County, NJ</w:t>
      </w:r>
      <w:r>
        <w:rPr>
          <w:rFonts w:cs="Arial"/>
          <w:szCs w:val="24"/>
          <w:shd w:val="clear" w:color="auto" w:fill="FEFEFE"/>
        </w:rPr>
        <w:t xml:space="preserve"> (</w:t>
      </w:r>
      <w:r w:rsidRPr="00605C80">
        <w:rPr>
          <w:rFonts w:cs="Arial"/>
          <w:szCs w:val="24"/>
          <w:shd w:val="clear" w:color="auto" w:fill="FEFEFE"/>
        </w:rPr>
        <w:t>2,194 units/$294.73</w:t>
      </w:r>
      <w:r w:rsidRPr="007750DD">
        <w:rPr>
          <w:rFonts w:cs="Arial"/>
          <w:szCs w:val="24"/>
          <w:shd w:val="clear" w:color="auto" w:fill="FEFEFE"/>
        </w:rPr>
        <w:t>)</w:t>
      </w:r>
    </w:p>
    <w:p w14:paraId="47F574CB" w14:textId="3A0A605E" w:rsidR="00570A01" w:rsidRPr="0053061E" w:rsidRDefault="00570A01" w:rsidP="00570A01">
      <w:pPr>
        <w:pStyle w:val="ListParagraph"/>
        <w:numPr>
          <w:ilvl w:val="0"/>
          <w:numId w:val="3"/>
        </w:numPr>
        <w:rPr>
          <w:rFonts w:cs="Arial"/>
          <w:szCs w:val="24"/>
          <w:shd w:val="clear" w:color="auto" w:fill="FEFEFE"/>
        </w:rPr>
      </w:pPr>
      <w:r w:rsidRPr="0048453E">
        <w:rPr>
          <w:rFonts w:cs="Arial"/>
          <w:b/>
          <w:bCs/>
          <w:i/>
          <w:iCs/>
          <w:szCs w:val="24"/>
          <w:shd w:val="clear" w:color="auto" w:fill="FEFEFE"/>
        </w:rPr>
        <w:t>Philadelphia County, PA</w:t>
      </w:r>
      <w:r>
        <w:rPr>
          <w:rFonts w:cs="Arial"/>
          <w:szCs w:val="24"/>
          <w:shd w:val="clear" w:color="auto" w:fill="FEFEFE"/>
        </w:rPr>
        <w:t xml:space="preserve"> (</w:t>
      </w:r>
      <w:r w:rsidRPr="00605C80">
        <w:rPr>
          <w:rFonts w:cs="Arial"/>
          <w:szCs w:val="24"/>
          <w:shd w:val="clear" w:color="auto" w:fill="FEFEFE"/>
        </w:rPr>
        <w:t>1,</w:t>
      </w:r>
      <w:r w:rsidR="000F37D0" w:rsidRPr="00605C80">
        <w:rPr>
          <w:rFonts w:cs="Arial"/>
          <w:szCs w:val="24"/>
          <w:shd w:val="clear" w:color="auto" w:fill="FEFEFE"/>
        </w:rPr>
        <w:t>307</w:t>
      </w:r>
      <w:r w:rsidRPr="00605C80">
        <w:rPr>
          <w:rFonts w:cs="Arial"/>
          <w:szCs w:val="24"/>
          <w:shd w:val="clear" w:color="auto" w:fill="FEFEFE"/>
        </w:rPr>
        <w:t xml:space="preserve"> units/$139.87M</w:t>
      </w:r>
      <w:r>
        <w:rPr>
          <w:rFonts w:cs="Arial"/>
          <w:szCs w:val="24"/>
          <w:shd w:val="clear" w:color="auto" w:fill="FEFEFE"/>
        </w:rPr>
        <w:t>)</w:t>
      </w:r>
      <w:r w:rsidRPr="0053061E">
        <w:rPr>
          <w:rFonts w:cs="Arial"/>
          <w:szCs w:val="24"/>
          <w:shd w:val="clear" w:color="auto" w:fill="FEFEFE"/>
        </w:rPr>
        <w:t xml:space="preserve"> </w:t>
      </w:r>
    </w:p>
    <w:p w14:paraId="6B97C4C5" w14:textId="02E8DD3D" w:rsidR="007750DD" w:rsidRDefault="00794358" w:rsidP="0053061E">
      <w:pPr>
        <w:pStyle w:val="ListParagraph"/>
        <w:numPr>
          <w:ilvl w:val="0"/>
          <w:numId w:val="3"/>
        </w:numPr>
        <w:rPr>
          <w:rFonts w:cs="Arial"/>
          <w:szCs w:val="24"/>
          <w:shd w:val="clear" w:color="auto" w:fill="FEFEFE"/>
        </w:rPr>
      </w:pPr>
      <w:r w:rsidRPr="0048453E">
        <w:rPr>
          <w:rFonts w:cs="Arial"/>
          <w:b/>
          <w:bCs/>
          <w:i/>
          <w:iCs/>
          <w:szCs w:val="24"/>
          <w:shd w:val="clear" w:color="auto" w:fill="FEFEFE"/>
        </w:rPr>
        <w:t>Burlington County</w:t>
      </w:r>
      <w:r w:rsidR="007750DD" w:rsidRPr="0048453E">
        <w:rPr>
          <w:rFonts w:cs="Arial"/>
          <w:b/>
          <w:bCs/>
          <w:i/>
          <w:iCs/>
          <w:szCs w:val="24"/>
          <w:shd w:val="clear" w:color="auto" w:fill="FEFEFE"/>
        </w:rPr>
        <w:t>, NJ</w:t>
      </w:r>
      <w:r w:rsidR="007750DD">
        <w:rPr>
          <w:rFonts w:cs="Arial"/>
          <w:szCs w:val="24"/>
          <w:shd w:val="clear" w:color="auto" w:fill="FEFEFE"/>
        </w:rPr>
        <w:t xml:space="preserve"> (</w:t>
      </w:r>
      <w:r w:rsidR="007750DD" w:rsidRPr="00605C80">
        <w:rPr>
          <w:rFonts w:cs="Arial"/>
          <w:szCs w:val="24"/>
          <w:shd w:val="clear" w:color="auto" w:fill="FEFEFE"/>
        </w:rPr>
        <w:t>324 units/$</w:t>
      </w:r>
      <w:r w:rsidR="00BB0A11" w:rsidRPr="00605C80">
        <w:rPr>
          <w:rFonts w:cs="Arial"/>
          <w:szCs w:val="24"/>
          <w:shd w:val="clear" w:color="auto" w:fill="FEFEFE"/>
        </w:rPr>
        <w:t>54.1</w:t>
      </w:r>
      <w:r w:rsidR="007750DD" w:rsidRPr="00605C80">
        <w:rPr>
          <w:rFonts w:cs="Arial"/>
          <w:szCs w:val="24"/>
          <w:shd w:val="clear" w:color="auto" w:fill="FEFEFE"/>
        </w:rPr>
        <w:t>M</w:t>
      </w:r>
      <w:r w:rsidR="007750DD">
        <w:rPr>
          <w:rFonts w:cs="Arial"/>
          <w:szCs w:val="24"/>
          <w:shd w:val="clear" w:color="auto" w:fill="FEFEFE"/>
        </w:rPr>
        <w:t>)</w:t>
      </w:r>
    </w:p>
    <w:p w14:paraId="28D16D07" w14:textId="75C0C22D" w:rsidR="00570A01" w:rsidRDefault="00570A01" w:rsidP="00570A01">
      <w:pPr>
        <w:pStyle w:val="ListParagraph"/>
        <w:numPr>
          <w:ilvl w:val="0"/>
          <w:numId w:val="3"/>
        </w:numPr>
        <w:rPr>
          <w:rFonts w:cs="Arial"/>
          <w:szCs w:val="24"/>
          <w:shd w:val="clear" w:color="auto" w:fill="FEFEFE"/>
        </w:rPr>
      </w:pPr>
      <w:r w:rsidRPr="0048453E">
        <w:rPr>
          <w:rFonts w:cs="Arial"/>
          <w:b/>
          <w:bCs/>
          <w:i/>
          <w:iCs/>
          <w:szCs w:val="24"/>
          <w:shd w:val="clear" w:color="auto" w:fill="FEFEFE"/>
        </w:rPr>
        <w:t>Montgomery County, PA</w:t>
      </w:r>
      <w:r>
        <w:rPr>
          <w:rFonts w:cs="Arial"/>
          <w:szCs w:val="24"/>
          <w:shd w:val="clear" w:color="auto" w:fill="FEFEFE"/>
        </w:rPr>
        <w:t xml:space="preserve"> (</w:t>
      </w:r>
      <w:r w:rsidRPr="00605C80">
        <w:rPr>
          <w:rFonts w:cs="Arial"/>
          <w:szCs w:val="24"/>
          <w:shd w:val="clear" w:color="auto" w:fill="FEFEFE"/>
        </w:rPr>
        <w:t>22</w:t>
      </w:r>
      <w:r w:rsidR="00E332FA" w:rsidRPr="00605C80">
        <w:rPr>
          <w:rFonts w:cs="Arial"/>
          <w:szCs w:val="24"/>
          <w:shd w:val="clear" w:color="auto" w:fill="FEFEFE"/>
        </w:rPr>
        <w:t>7</w:t>
      </w:r>
      <w:r w:rsidRPr="00605C80">
        <w:rPr>
          <w:rFonts w:cs="Arial"/>
          <w:szCs w:val="24"/>
          <w:shd w:val="clear" w:color="auto" w:fill="FEFEFE"/>
        </w:rPr>
        <w:t xml:space="preserve"> units/$38.37M</w:t>
      </w:r>
      <w:r>
        <w:rPr>
          <w:rFonts w:cs="Arial"/>
          <w:szCs w:val="24"/>
          <w:shd w:val="clear" w:color="auto" w:fill="FEFEFE"/>
        </w:rPr>
        <w:t>)</w:t>
      </w:r>
    </w:p>
    <w:p w14:paraId="5C1FAF03" w14:textId="799E8204" w:rsidR="00570A01" w:rsidRDefault="00570A01" w:rsidP="0053061E">
      <w:pPr>
        <w:pStyle w:val="ListParagraph"/>
        <w:numPr>
          <w:ilvl w:val="0"/>
          <w:numId w:val="3"/>
        </w:numPr>
        <w:rPr>
          <w:rFonts w:cs="Arial"/>
          <w:szCs w:val="24"/>
          <w:shd w:val="clear" w:color="auto" w:fill="FEFEFE"/>
        </w:rPr>
      </w:pPr>
      <w:r w:rsidRPr="0048453E">
        <w:rPr>
          <w:rFonts w:cs="Arial"/>
          <w:b/>
          <w:bCs/>
          <w:i/>
          <w:iCs/>
          <w:szCs w:val="24"/>
          <w:shd w:val="clear" w:color="auto" w:fill="FEFEFE"/>
        </w:rPr>
        <w:t>Delaware County, PA</w:t>
      </w:r>
      <w:r>
        <w:rPr>
          <w:rFonts w:cs="Arial"/>
          <w:szCs w:val="24"/>
          <w:shd w:val="clear" w:color="auto" w:fill="FEFEFE"/>
        </w:rPr>
        <w:t xml:space="preserve"> (</w:t>
      </w:r>
      <w:r w:rsidRPr="00605C80">
        <w:rPr>
          <w:rFonts w:cs="Arial"/>
          <w:szCs w:val="24"/>
          <w:shd w:val="clear" w:color="auto" w:fill="FEFEFE"/>
        </w:rPr>
        <w:t>227 units/$26.65M</w:t>
      </w:r>
      <w:r>
        <w:rPr>
          <w:rFonts w:cs="Arial"/>
          <w:szCs w:val="24"/>
          <w:shd w:val="clear" w:color="auto" w:fill="FEFEFE"/>
        </w:rPr>
        <w:t>)</w:t>
      </w:r>
    </w:p>
    <w:p w14:paraId="3F70284A" w14:textId="77777777" w:rsidR="00570A01" w:rsidRPr="007750DD" w:rsidRDefault="00570A01" w:rsidP="00570A01">
      <w:pPr>
        <w:pStyle w:val="ListParagraph"/>
        <w:numPr>
          <w:ilvl w:val="0"/>
          <w:numId w:val="3"/>
        </w:numPr>
        <w:rPr>
          <w:rFonts w:cs="Arial"/>
          <w:szCs w:val="24"/>
          <w:shd w:val="clear" w:color="auto" w:fill="FEFEFE"/>
        </w:rPr>
      </w:pPr>
      <w:r w:rsidRPr="0048453E">
        <w:rPr>
          <w:rFonts w:cs="Arial"/>
          <w:b/>
          <w:bCs/>
          <w:i/>
          <w:iCs/>
          <w:szCs w:val="24"/>
          <w:shd w:val="clear" w:color="auto" w:fill="FEFEFE"/>
        </w:rPr>
        <w:t>Bucks County, PA</w:t>
      </w:r>
      <w:r>
        <w:rPr>
          <w:rFonts w:cs="Arial"/>
          <w:szCs w:val="24"/>
          <w:shd w:val="clear" w:color="auto" w:fill="FEFEFE"/>
        </w:rPr>
        <w:t xml:space="preserve"> (</w:t>
      </w:r>
      <w:r w:rsidRPr="00605C80">
        <w:rPr>
          <w:rFonts w:cs="Arial"/>
          <w:szCs w:val="24"/>
          <w:shd w:val="clear" w:color="auto" w:fill="FEFEFE"/>
        </w:rPr>
        <w:t>152 units/$22.5M</w:t>
      </w:r>
      <w:r>
        <w:rPr>
          <w:rFonts w:cs="Arial"/>
          <w:szCs w:val="24"/>
          <w:shd w:val="clear" w:color="auto" w:fill="FEFEFE"/>
        </w:rPr>
        <w:t>)</w:t>
      </w:r>
      <w:r w:rsidRPr="007750DD">
        <w:rPr>
          <w:rFonts w:cs="Arial"/>
          <w:szCs w:val="24"/>
          <w:shd w:val="clear" w:color="auto" w:fill="FEFEFE"/>
        </w:rPr>
        <w:t xml:space="preserve"> </w:t>
      </w:r>
    </w:p>
    <w:p w14:paraId="7A2D9135" w14:textId="41289F81" w:rsidR="00FD2286" w:rsidRPr="00570A01" w:rsidRDefault="00570A01" w:rsidP="00570A01">
      <w:pPr>
        <w:rPr>
          <w:rFonts w:cs="Arial"/>
          <w:szCs w:val="24"/>
          <w:shd w:val="clear" w:color="auto" w:fill="FEFEFE"/>
        </w:rPr>
      </w:pPr>
      <w:r>
        <w:rPr>
          <w:rFonts w:cs="Arial"/>
          <w:szCs w:val="24"/>
          <w:shd w:val="clear" w:color="auto" w:fill="FEFEFE"/>
        </w:rPr>
        <w:t xml:space="preserve">Rounding out the firm’s </w:t>
      </w:r>
      <w:r w:rsidR="0048453E">
        <w:rPr>
          <w:rFonts w:cs="Arial"/>
          <w:szCs w:val="24"/>
          <w:shd w:val="clear" w:color="auto" w:fill="FEFEFE"/>
        </w:rPr>
        <w:t xml:space="preserve">sales activity are </w:t>
      </w:r>
      <w:r w:rsidR="0048453E" w:rsidRPr="00605C80">
        <w:rPr>
          <w:rFonts w:cs="Arial"/>
          <w:szCs w:val="24"/>
          <w:shd w:val="clear" w:color="auto" w:fill="FEFEFE"/>
        </w:rPr>
        <w:t>993 units/$89.95M</w:t>
      </w:r>
      <w:r w:rsidR="0048453E">
        <w:rPr>
          <w:rFonts w:cs="Arial"/>
          <w:szCs w:val="24"/>
          <w:shd w:val="clear" w:color="auto" w:fill="FEFEFE"/>
        </w:rPr>
        <w:t xml:space="preserve"> in sales in the Philadelphia/Mid-Atlantic Region and New York State sales of </w:t>
      </w:r>
      <w:r w:rsidR="0048453E" w:rsidRPr="00605C80">
        <w:rPr>
          <w:rFonts w:cs="Arial"/>
          <w:szCs w:val="24"/>
        </w:rPr>
        <w:t xml:space="preserve">540 units sold for $62.29M.    </w:t>
      </w:r>
    </w:p>
    <w:p w14:paraId="35AD820D" w14:textId="77777777" w:rsidR="007C5516" w:rsidRDefault="007C5516" w:rsidP="007C5516">
      <w:pPr>
        <w:rPr>
          <w:rFonts w:cs="Arial"/>
          <w:szCs w:val="24"/>
          <w:u w:val="single"/>
          <w:shd w:val="clear" w:color="auto" w:fill="FEFEFE"/>
        </w:rPr>
      </w:pPr>
      <w:r>
        <w:rPr>
          <w:rFonts w:cs="Arial"/>
          <w:szCs w:val="24"/>
          <w:u w:val="single"/>
          <w:shd w:val="clear" w:color="auto" w:fill="FEFEFE"/>
        </w:rPr>
        <w:t>The Future Looks Bright for Multifamily</w:t>
      </w:r>
    </w:p>
    <w:p w14:paraId="5E614F96" w14:textId="3067D48B" w:rsidR="007C5516" w:rsidRDefault="0028682D" w:rsidP="007C5516">
      <w:pPr>
        <w:rPr>
          <w:rFonts w:cs="Arial"/>
          <w:szCs w:val="24"/>
        </w:rPr>
      </w:pPr>
      <w:r>
        <w:rPr>
          <w:rFonts w:cs="Arial"/>
          <w:szCs w:val="24"/>
        </w:rPr>
        <w:t>One</w:t>
      </w:r>
      <w:r w:rsidR="007C5516">
        <w:rPr>
          <w:rFonts w:cs="Arial"/>
          <w:szCs w:val="24"/>
        </w:rPr>
        <w:t xml:space="preserve"> </w:t>
      </w:r>
      <w:r w:rsidR="00053AFE">
        <w:rPr>
          <w:rFonts w:cs="Arial"/>
          <w:szCs w:val="24"/>
        </w:rPr>
        <w:t xml:space="preserve">“trend” industry forecasters are following </w:t>
      </w:r>
      <w:r>
        <w:rPr>
          <w:rFonts w:cs="Arial"/>
          <w:szCs w:val="24"/>
        </w:rPr>
        <w:t xml:space="preserve">closely </w:t>
      </w:r>
      <w:r w:rsidR="007C5516">
        <w:rPr>
          <w:rFonts w:cs="Arial"/>
          <w:szCs w:val="24"/>
        </w:rPr>
        <w:t>is the entry of a new generation into the tenant pipeline. “While the millennial cohort may have migrated to edge-city suburban markets during the pandemic in search of more space for their growing families, the first wave of Gen Z graduated college, secured high-paying remote</w:t>
      </w:r>
      <w:r w:rsidR="005B79C0">
        <w:rPr>
          <w:rFonts w:cs="Arial"/>
          <w:szCs w:val="24"/>
        </w:rPr>
        <w:t>-to-hybrid</w:t>
      </w:r>
      <w:r w:rsidR="007C5516">
        <w:rPr>
          <w:rFonts w:cs="Arial"/>
          <w:szCs w:val="24"/>
        </w:rPr>
        <w:t xml:space="preserve"> jobs and built up their savings while living with their parents </w:t>
      </w:r>
      <w:r w:rsidR="00053AFE">
        <w:rPr>
          <w:rFonts w:cs="Arial"/>
          <w:szCs w:val="24"/>
        </w:rPr>
        <w:t>during</w:t>
      </w:r>
      <w:r w:rsidR="007C5516">
        <w:rPr>
          <w:rFonts w:cs="Arial"/>
          <w:szCs w:val="24"/>
        </w:rPr>
        <w:t xml:space="preserve"> the pandemic,” said Executive Managing Director Joseph Brecher. “Now that society is opening up, they are flooding the tenant pool to bridge already low vacancies in most Northeastern submarkets.”   </w:t>
      </w:r>
    </w:p>
    <w:p w14:paraId="6398A14C" w14:textId="35F0E156" w:rsidR="00443878" w:rsidRDefault="0028682D" w:rsidP="007C5516">
      <w:pPr>
        <w:rPr>
          <w:rFonts w:cs="Arial"/>
          <w:szCs w:val="24"/>
        </w:rPr>
      </w:pPr>
      <w:r>
        <w:rPr>
          <w:rFonts w:cs="Arial"/>
          <w:szCs w:val="24"/>
          <w:shd w:val="clear" w:color="auto" w:fill="FEFEFE"/>
        </w:rPr>
        <w:t>Keeping an eye on the future, Uranowitz said cap rate compression levels are expected to continue into 2022, notwithstanding an anticipated rise in</w:t>
      </w:r>
      <w:r w:rsidR="00A636D0">
        <w:rPr>
          <w:rFonts w:cs="Arial"/>
          <w:szCs w:val="24"/>
          <w:shd w:val="clear" w:color="auto" w:fill="FEFEFE"/>
        </w:rPr>
        <w:t xml:space="preserve"> interest rates in</w:t>
      </w:r>
      <w:r>
        <w:rPr>
          <w:rFonts w:cs="Arial"/>
          <w:szCs w:val="24"/>
          <w:shd w:val="clear" w:color="auto" w:fill="FEFEFE"/>
        </w:rPr>
        <w:t xml:space="preserve"> the coming months. Also, he reports single-family </w:t>
      </w:r>
      <w:r>
        <w:rPr>
          <w:rFonts w:cs="Arial"/>
          <w:szCs w:val="24"/>
        </w:rPr>
        <w:t>homeownership remains elusive to many. “As borrowing costs become more expensive, renters will stay in place to solidify occupancy levels – resulting in the continued upward trajectory of multifamily performance in the foreseeable future,” he said.</w:t>
      </w:r>
    </w:p>
    <w:p w14:paraId="452148E4" w14:textId="77777777" w:rsidR="00053AFE" w:rsidRPr="00D677CD" w:rsidRDefault="00053AFE" w:rsidP="00053AFE">
      <w:pPr>
        <w:pStyle w:val="NoSpacing"/>
        <w:jc w:val="center"/>
        <w:rPr>
          <w:rFonts w:eastAsia="Times New Roman"/>
        </w:rPr>
      </w:pPr>
      <w:r>
        <w:rPr>
          <w:rFonts w:eastAsia="Times New Roman"/>
        </w:rPr>
        <w:t>###</w:t>
      </w:r>
    </w:p>
    <w:p w14:paraId="28F62720" w14:textId="77777777" w:rsidR="00053AFE" w:rsidRPr="00D677CD" w:rsidRDefault="00053AFE" w:rsidP="00053AFE">
      <w:pPr>
        <w:pStyle w:val="NoSpacing"/>
        <w:rPr>
          <w:rFonts w:eastAsia="Times New Roman"/>
        </w:rPr>
      </w:pPr>
    </w:p>
    <w:p w14:paraId="03104E89" w14:textId="3C736C72" w:rsidR="00AE60DA" w:rsidRPr="00A90129" w:rsidRDefault="00053AFE" w:rsidP="00A90129">
      <w:pPr>
        <w:pStyle w:val="NoSpacing"/>
        <w:rPr>
          <w:rFonts w:eastAsia="Times New Roman"/>
          <w:sz w:val="22"/>
        </w:rPr>
      </w:pPr>
      <w:r w:rsidRPr="009A3904">
        <w:rPr>
          <w:rFonts w:eastAsia="Times New Roman"/>
          <w:sz w:val="22"/>
        </w:rPr>
        <w:t>Since 1975, Gebroe-Hammer’s brokerage activities have concentrated on all multifamily types including Class A, B and C high-rise and garden-apartment properties. While initially focusing on New Jersey, the Livingston, N.J.-based firm has evolved during the past 4</w:t>
      </w:r>
      <w:r w:rsidR="00025B98">
        <w:rPr>
          <w:rFonts w:eastAsia="Times New Roman"/>
          <w:sz w:val="22"/>
        </w:rPr>
        <w:t>7</w:t>
      </w:r>
      <w:r w:rsidRPr="009A3904">
        <w:rPr>
          <w:rFonts w:eastAsia="Times New Roman"/>
          <w:sz w:val="22"/>
        </w:rPr>
        <w:t xml:space="preserve"> years to also dominate Eastern Pennsylvania and New York State submarkets as well as represent client interests nationally. Widely recognized for its consistent sales performance, the firm is a 17-time CoStar Power Broker.</w:t>
      </w:r>
    </w:p>
    <w:sectPr w:rsidR="00AE60DA" w:rsidRPr="00A90129" w:rsidSect="000E2F16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784"/>
    <w:multiLevelType w:val="hybridMultilevel"/>
    <w:tmpl w:val="3AE0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5158"/>
    <w:multiLevelType w:val="hybridMultilevel"/>
    <w:tmpl w:val="A41C4B2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636E4E6E"/>
    <w:multiLevelType w:val="hybridMultilevel"/>
    <w:tmpl w:val="0BD0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100BE"/>
    <w:multiLevelType w:val="hybridMultilevel"/>
    <w:tmpl w:val="CBCA7C72"/>
    <w:lvl w:ilvl="0" w:tplc="6CFC8160">
      <w:start w:val="1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16"/>
    <w:rsid w:val="00025B98"/>
    <w:rsid w:val="00040AC2"/>
    <w:rsid w:val="00053AFE"/>
    <w:rsid w:val="00076A3E"/>
    <w:rsid w:val="00077D1C"/>
    <w:rsid w:val="00082E10"/>
    <w:rsid w:val="00096778"/>
    <w:rsid w:val="000B1899"/>
    <w:rsid w:val="000E2F16"/>
    <w:rsid w:val="000F37D0"/>
    <w:rsid w:val="00136CCD"/>
    <w:rsid w:val="001706D9"/>
    <w:rsid w:val="001712A1"/>
    <w:rsid w:val="0017500B"/>
    <w:rsid w:val="00175827"/>
    <w:rsid w:val="001759E9"/>
    <w:rsid w:val="001A32A9"/>
    <w:rsid w:val="002442B9"/>
    <w:rsid w:val="002623D8"/>
    <w:rsid w:val="00264BEE"/>
    <w:rsid w:val="0028682D"/>
    <w:rsid w:val="002D6F8A"/>
    <w:rsid w:val="002F7193"/>
    <w:rsid w:val="00321E37"/>
    <w:rsid w:val="00381AC0"/>
    <w:rsid w:val="003A1275"/>
    <w:rsid w:val="003C1010"/>
    <w:rsid w:val="003F61A9"/>
    <w:rsid w:val="00406D77"/>
    <w:rsid w:val="00415899"/>
    <w:rsid w:val="00415CB6"/>
    <w:rsid w:val="00443878"/>
    <w:rsid w:val="00447AF7"/>
    <w:rsid w:val="0048453E"/>
    <w:rsid w:val="00486F49"/>
    <w:rsid w:val="004A6BBA"/>
    <w:rsid w:val="004B444D"/>
    <w:rsid w:val="004C74AB"/>
    <w:rsid w:val="00526D3F"/>
    <w:rsid w:val="0053061E"/>
    <w:rsid w:val="0053768D"/>
    <w:rsid w:val="00545BA2"/>
    <w:rsid w:val="0055630A"/>
    <w:rsid w:val="00570A01"/>
    <w:rsid w:val="00574747"/>
    <w:rsid w:val="005B31B4"/>
    <w:rsid w:val="005B79C0"/>
    <w:rsid w:val="005C6A75"/>
    <w:rsid w:val="006028DA"/>
    <w:rsid w:val="00605C80"/>
    <w:rsid w:val="00621BC4"/>
    <w:rsid w:val="00647C42"/>
    <w:rsid w:val="006C5FA4"/>
    <w:rsid w:val="00734D37"/>
    <w:rsid w:val="007359C7"/>
    <w:rsid w:val="007750DD"/>
    <w:rsid w:val="00794358"/>
    <w:rsid w:val="007B3E27"/>
    <w:rsid w:val="007C5516"/>
    <w:rsid w:val="007E11D4"/>
    <w:rsid w:val="008D606C"/>
    <w:rsid w:val="008F6946"/>
    <w:rsid w:val="009619A0"/>
    <w:rsid w:val="0097288C"/>
    <w:rsid w:val="00980A30"/>
    <w:rsid w:val="009B15E8"/>
    <w:rsid w:val="009C51E4"/>
    <w:rsid w:val="009D2502"/>
    <w:rsid w:val="00A6203E"/>
    <w:rsid w:val="00A636D0"/>
    <w:rsid w:val="00A7248B"/>
    <w:rsid w:val="00A85F98"/>
    <w:rsid w:val="00A90129"/>
    <w:rsid w:val="00AA6001"/>
    <w:rsid w:val="00AD4E65"/>
    <w:rsid w:val="00AE60DA"/>
    <w:rsid w:val="00AF7766"/>
    <w:rsid w:val="00B16F51"/>
    <w:rsid w:val="00B63892"/>
    <w:rsid w:val="00B678E0"/>
    <w:rsid w:val="00B738F0"/>
    <w:rsid w:val="00BB0A11"/>
    <w:rsid w:val="00C40027"/>
    <w:rsid w:val="00C728E3"/>
    <w:rsid w:val="00D2546F"/>
    <w:rsid w:val="00D444C8"/>
    <w:rsid w:val="00DA73A6"/>
    <w:rsid w:val="00DC4561"/>
    <w:rsid w:val="00DE0B65"/>
    <w:rsid w:val="00E24DE5"/>
    <w:rsid w:val="00E2535F"/>
    <w:rsid w:val="00E332FA"/>
    <w:rsid w:val="00E6448D"/>
    <w:rsid w:val="00E85733"/>
    <w:rsid w:val="00EB3B02"/>
    <w:rsid w:val="00EC4454"/>
    <w:rsid w:val="00EE2BDE"/>
    <w:rsid w:val="00EE3868"/>
    <w:rsid w:val="00F13197"/>
    <w:rsid w:val="00F2153B"/>
    <w:rsid w:val="00F26149"/>
    <w:rsid w:val="00F4302E"/>
    <w:rsid w:val="00F67BA7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A8D9"/>
  <w15:chartTrackingRefBased/>
  <w15:docId w15:val="{C114295F-0F3F-484B-9643-F72B606F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5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516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7C5516"/>
  </w:style>
  <w:style w:type="paragraph" w:styleId="ListParagraph">
    <w:name w:val="List Paragraph"/>
    <w:basedOn w:val="Normal"/>
    <w:uiPriority w:val="34"/>
    <w:qFormat/>
    <w:rsid w:val="00734D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3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8&amp;Action=Follow+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9&amp;Action=Follow+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900&amp;Action=Follow+Lin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n@cmmstrateg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broehamm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2022-01-19T13:26:00Z</dcterms:created>
  <dcterms:modified xsi:type="dcterms:W3CDTF">2022-01-19T13:26:00Z</dcterms:modified>
</cp:coreProperties>
</file>