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DAF1" w14:textId="7D39B034" w:rsidR="001B799F" w:rsidRPr="006343AB" w:rsidRDefault="00CF3B4D" w:rsidP="001B799F">
      <w:pPr>
        <w:pStyle w:val="paragraph"/>
        <w:spacing w:before="0" w:beforeAutospacing="0" w:after="0" w:afterAutospacing="0"/>
        <w:textAlignment w:val="baseline"/>
        <w:rPr>
          <w:rStyle w:val="normaltextrun"/>
          <w:i/>
          <w:iCs/>
          <w:sz w:val="48"/>
          <w:szCs w:val="48"/>
          <w:u w:val="single"/>
        </w:rPr>
      </w:pPr>
      <w:r>
        <w:rPr>
          <w:rStyle w:val="normaltextrun"/>
          <w:i/>
          <w:iCs/>
          <w:sz w:val="48"/>
          <w:szCs w:val="48"/>
          <w:u w:val="single"/>
        </w:rPr>
        <w:t>News Release</w:t>
      </w:r>
    </w:p>
    <w:p w14:paraId="6E273C7E" w14:textId="77777777" w:rsidR="001B799F" w:rsidRDefault="001B799F" w:rsidP="001B799F">
      <w:pPr>
        <w:pStyle w:val="paragraph"/>
        <w:spacing w:before="0" w:beforeAutospacing="0" w:after="0" w:afterAutospacing="0"/>
        <w:textAlignment w:val="baseline"/>
        <w:rPr>
          <w:rStyle w:val="normaltextrun"/>
          <w:rFonts w:ascii="Arial" w:hAnsi="Arial" w:cs="Arial"/>
        </w:rPr>
      </w:pPr>
    </w:p>
    <w:p w14:paraId="7248B205" w14:textId="77777777" w:rsidR="001B799F" w:rsidRDefault="001B799F" w:rsidP="001B79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69E25A95" w14:textId="77777777" w:rsidR="001B799F" w:rsidRDefault="001B799F" w:rsidP="001B79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2BB9EE35" w14:textId="77777777" w:rsidR="001B799F" w:rsidRDefault="001B799F" w:rsidP="001B79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16F42632" w14:textId="77777777" w:rsidR="001B799F" w:rsidRDefault="001B799F" w:rsidP="001B799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F6A15D2" w14:textId="77777777" w:rsidR="001B799F" w:rsidRDefault="001B799F" w:rsidP="001B79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4" w:tgtFrame="_blank" w:history="1">
        <w:r>
          <w:rPr>
            <w:rStyle w:val="normaltextrun"/>
            <w:rFonts w:ascii="Arial" w:hAnsi="Arial" w:cs="Arial"/>
            <w:color w:val="0563C1"/>
          </w:rPr>
          <w:t>carin@cmmstrategic.com</w:t>
        </w:r>
      </w:hyperlink>
      <w:r>
        <w:rPr>
          <w:rStyle w:val="normaltextrun"/>
          <w:rFonts w:ascii="Arial" w:hAnsi="Arial" w:cs="Arial"/>
        </w:rPr>
        <w:t> / 973.513.9580</w:t>
      </w:r>
      <w:r>
        <w:rPr>
          <w:rStyle w:val="eop"/>
          <w:rFonts w:ascii="Arial" w:hAnsi="Arial" w:cs="Arial"/>
        </w:rPr>
        <w:t> </w:t>
      </w:r>
    </w:p>
    <w:p w14:paraId="13D3E1F9" w14:textId="77777777" w:rsidR="001B799F" w:rsidRPr="00565253" w:rsidRDefault="001B799F" w:rsidP="001B79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Follow us on </w:t>
      </w:r>
      <w:hyperlink r:id="rId5" w:tgtFrame="_blank" w:history="1">
        <w:r>
          <w:rPr>
            <w:rStyle w:val="normaltextrun"/>
            <w:rFonts w:ascii="Arial" w:hAnsi="Arial" w:cs="Arial"/>
            <w:color w:val="0563C1"/>
          </w:rPr>
          <w:t>Twitter</w:t>
        </w:r>
      </w:hyperlink>
      <w:r>
        <w:rPr>
          <w:rStyle w:val="normaltextrun"/>
          <w:rFonts w:ascii="Arial" w:hAnsi="Arial" w:cs="Arial"/>
        </w:rPr>
        <w:t> / </w:t>
      </w:r>
      <w:hyperlink r:id="rId6" w:tgtFrame="_blank" w:history="1">
        <w:r>
          <w:rPr>
            <w:rStyle w:val="normaltextrun"/>
            <w:rFonts w:ascii="Arial" w:hAnsi="Arial" w:cs="Arial"/>
            <w:color w:val="0563C1"/>
          </w:rPr>
          <w:t>LinkedIn</w:t>
        </w:r>
      </w:hyperlink>
      <w:r>
        <w:rPr>
          <w:rStyle w:val="normaltextrun"/>
          <w:rFonts w:ascii="Arial" w:hAnsi="Arial" w:cs="Arial"/>
        </w:rPr>
        <w:t> / </w:t>
      </w:r>
      <w:hyperlink r:id="rId7" w:tgtFrame="_blank" w:history="1">
        <w:r>
          <w:rPr>
            <w:rStyle w:val="normaltextrun"/>
            <w:rFonts w:ascii="Arial" w:hAnsi="Arial" w:cs="Arial"/>
            <w:color w:val="0563C1"/>
          </w:rPr>
          <w:t>Facebook</w:t>
        </w:r>
      </w:hyperlink>
      <w:r>
        <w:rPr>
          <w:rStyle w:val="normaltextrun"/>
          <w:rFonts w:ascii="Arial" w:hAnsi="Arial" w:cs="Arial"/>
          <w:b/>
          <w:bCs/>
        </w:rPr>
        <w:t> </w:t>
      </w:r>
      <w:r>
        <w:rPr>
          <w:rStyle w:val="eop"/>
          <w:rFonts w:ascii="Arial" w:hAnsi="Arial" w:cs="Arial"/>
        </w:rPr>
        <w:t> </w:t>
      </w:r>
    </w:p>
    <w:p w14:paraId="4290C847" w14:textId="77777777" w:rsidR="001B799F" w:rsidRDefault="001B799F" w:rsidP="001B799F">
      <w:pPr>
        <w:rPr>
          <w:rFonts w:ascii="Arial" w:hAnsi="Arial" w:cs="Arial"/>
          <w:b/>
          <w:bCs/>
          <w:sz w:val="24"/>
          <w:szCs w:val="24"/>
        </w:rPr>
      </w:pPr>
    </w:p>
    <w:p w14:paraId="3894510A" w14:textId="6B46B8C1" w:rsidR="001B799F" w:rsidRDefault="001B799F" w:rsidP="007B2759">
      <w:pPr>
        <w:pStyle w:val="NoSpacing"/>
        <w:rPr>
          <w:rFonts w:eastAsia="Times New Roman"/>
          <w:b/>
          <w:bCs/>
        </w:rPr>
      </w:pPr>
      <w:r>
        <w:rPr>
          <w:rFonts w:eastAsia="Times New Roman"/>
          <w:b/>
          <w:bCs/>
        </w:rPr>
        <w:t>Gebroe-Hammer’s David Oropeza Arranges $11.75M Trade of Two-Property/88-Unit East Orange Multifamily Portfolio</w:t>
      </w:r>
    </w:p>
    <w:p w14:paraId="66A0001A" w14:textId="3A956D1C" w:rsidR="001B799F" w:rsidRDefault="00A3574E" w:rsidP="007B2759">
      <w:pPr>
        <w:pStyle w:val="NoSpacing"/>
        <w:rPr>
          <w:rFonts w:eastAsia="Times New Roman"/>
          <w:i/>
          <w:iCs/>
        </w:rPr>
      </w:pPr>
      <w:r>
        <w:rPr>
          <w:rFonts w:eastAsia="Times New Roman"/>
          <w:i/>
          <w:iCs/>
        </w:rPr>
        <w:t>Properties Offer New Ownership Repositioning Potential</w:t>
      </w:r>
    </w:p>
    <w:p w14:paraId="1187A6BD" w14:textId="77777777" w:rsidR="00A3574E" w:rsidRDefault="00A3574E" w:rsidP="007B2759">
      <w:pPr>
        <w:pStyle w:val="NoSpacing"/>
        <w:rPr>
          <w:rFonts w:eastAsia="Times New Roman"/>
          <w:b/>
          <w:bCs/>
        </w:rPr>
      </w:pPr>
    </w:p>
    <w:p w14:paraId="4E84DEA5" w14:textId="63FEB532" w:rsidR="00A3574E" w:rsidRDefault="00F325D5" w:rsidP="007B2759">
      <w:pPr>
        <w:pStyle w:val="NoSpacing"/>
      </w:pPr>
      <w:bookmarkStart w:id="0" w:name="_Hlk83989082"/>
      <w:r w:rsidRPr="007B2759">
        <w:rPr>
          <w:rFonts w:eastAsia="Times New Roman"/>
          <w:b/>
          <w:bCs/>
        </w:rPr>
        <w:t xml:space="preserve">East Orange, N.J., </w:t>
      </w:r>
      <w:r w:rsidR="00CF3B4D">
        <w:rPr>
          <w:rFonts w:eastAsia="Times New Roman"/>
          <w:b/>
          <w:bCs/>
        </w:rPr>
        <w:t xml:space="preserve">October </w:t>
      </w:r>
      <w:r w:rsidR="00141ACE">
        <w:rPr>
          <w:rFonts w:eastAsia="Times New Roman"/>
          <w:b/>
          <w:bCs/>
        </w:rPr>
        <w:t>5</w:t>
      </w:r>
      <w:r w:rsidRPr="007B2759">
        <w:rPr>
          <w:rFonts w:eastAsia="Times New Roman"/>
          <w:b/>
          <w:bCs/>
        </w:rPr>
        <w:t>, 2021</w:t>
      </w:r>
      <w:r>
        <w:rPr>
          <w:rFonts w:eastAsia="Times New Roman"/>
        </w:rPr>
        <w:t xml:space="preserve"> – In East Orange – one of the most-active urban corridors in terms of revitalization </w:t>
      </w:r>
      <w:r>
        <w:t xml:space="preserve">initiatives and multifamily investment – </w:t>
      </w:r>
      <w:hyperlink r:id="rId8" w:history="1">
        <w:r w:rsidRPr="00141ACE">
          <w:rPr>
            <w:rStyle w:val="Hyperlink"/>
          </w:rPr>
          <w:t>Gebroe-Hammer Associates</w:t>
        </w:r>
      </w:hyperlink>
      <w:r>
        <w:t xml:space="preserve">’ Executive Managing Director David Oropeza </w:t>
      </w:r>
      <w:r w:rsidR="00061697">
        <w:t xml:space="preserve">along with Senior Vice President Debbie Pomerantz </w:t>
      </w:r>
      <w:r>
        <w:t>recently arranged the $11.75M sale of a</w:t>
      </w:r>
      <w:r w:rsidR="001B799F">
        <w:t xml:space="preserve"> </w:t>
      </w:r>
      <w:r>
        <w:t xml:space="preserve">City Center </w:t>
      </w:r>
      <w:r w:rsidR="001B799F">
        <w:t xml:space="preserve">apartment-property </w:t>
      </w:r>
      <w:r>
        <w:t xml:space="preserve">package totaling 88 units. The </w:t>
      </w:r>
      <w:r w:rsidR="007B2759">
        <w:t>assets</w:t>
      </w:r>
      <w:r>
        <w:t xml:space="preserve"> included 255 Prospect St. (42 units) and 284 Prospect St. (46 units)</w:t>
      </w:r>
      <w:r w:rsidR="001B799F">
        <w:t xml:space="preserve">, both of which are garden-style buildings in </w:t>
      </w:r>
      <w:r w:rsidR="00A3574E">
        <w:t>a tree-lined residential neighborhood</w:t>
      </w:r>
      <w:r>
        <w:t xml:space="preserve">. </w:t>
      </w:r>
    </w:p>
    <w:bookmarkEnd w:id="0"/>
    <w:p w14:paraId="6F6D9633" w14:textId="77777777" w:rsidR="00A3574E" w:rsidRDefault="00A3574E" w:rsidP="007B2759">
      <w:pPr>
        <w:pStyle w:val="NoSpacing"/>
      </w:pPr>
    </w:p>
    <w:p w14:paraId="4C639F47" w14:textId="333B88C1" w:rsidR="001B799F" w:rsidRDefault="007C5756" w:rsidP="007B2759">
      <w:pPr>
        <w:pStyle w:val="NoSpacing"/>
      </w:pPr>
      <w:r>
        <w:t>The Gebroe-Hammer team</w:t>
      </w:r>
      <w:r w:rsidR="00F325D5">
        <w:t xml:space="preserve"> exclusively represented the seller, </w:t>
      </w:r>
      <w:r w:rsidR="007201A0">
        <w:t>F&amp;C Realty Co., LLC</w:t>
      </w:r>
      <w:r w:rsidR="00F325D5">
        <w:t xml:space="preserve">, and procured the buyer, </w:t>
      </w:r>
      <w:r w:rsidR="007201A0">
        <w:t xml:space="preserve">a private investor, </w:t>
      </w:r>
      <w:r w:rsidR="007B2759">
        <w:t>in the transaction.</w:t>
      </w:r>
      <w:r w:rsidR="00A3574E">
        <w:t xml:space="preserve"> Collectively, the properties feature a mix of studio to 3 BR layouts</w:t>
      </w:r>
      <w:r w:rsidR="00C92157">
        <w:t xml:space="preserve">, a portion of which have recently been renovated. </w:t>
      </w:r>
      <w:r w:rsidR="001B799F">
        <w:t xml:space="preserve">According to Oropeza, the Prospect Street properties offer new ownership a historically stabilized tenancy and an opportunity to </w:t>
      </w:r>
      <w:r w:rsidR="00C92157">
        <w:t xml:space="preserve">achieve </w:t>
      </w:r>
      <w:r w:rsidR="001B799F">
        <w:t>reposition</w:t>
      </w:r>
      <w:r w:rsidR="00C92157">
        <w:t>ing maturation</w:t>
      </w:r>
      <w:r w:rsidR="001B799F">
        <w:t xml:space="preserve">.  </w:t>
      </w:r>
    </w:p>
    <w:p w14:paraId="62AD4B84" w14:textId="77777777" w:rsidR="007B2759" w:rsidRDefault="007B2759" w:rsidP="007B2759">
      <w:pPr>
        <w:pStyle w:val="NoSpacing"/>
      </w:pPr>
    </w:p>
    <w:p w14:paraId="39C0E300" w14:textId="7BAC59B6" w:rsidR="007B2759" w:rsidRDefault="007B2759" w:rsidP="007B2759">
      <w:pPr>
        <w:pStyle w:val="NoSpacing"/>
      </w:pPr>
      <w:r>
        <w:t xml:space="preserve">“East Orange’s multifamily investment and redevelopment momentum has </w:t>
      </w:r>
      <w:r w:rsidR="00F92E18">
        <w:t>accelerated</w:t>
      </w:r>
      <w:r>
        <w:t xml:space="preserve"> in the past 18 – 24 months,” said Oropeza</w:t>
      </w:r>
      <w:r w:rsidR="008D0C25">
        <w:t>. “C</w:t>
      </w:r>
      <w:r w:rsidRPr="009614D1">
        <w:t>haracterized by a multifamily-dense early-to-mid-20th Century vintage of properties</w:t>
      </w:r>
      <w:r w:rsidR="008D0C25">
        <w:t xml:space="preserve">, the city has </w:t>
      </w:r>
      <w:r w:rsidRPr="009614D1">
        <w:t xml:space="preserve">approximately 30% of </w:t>
      </w:r>
      <w:r w:rsidR="008D0C25">
        <w:t xml:space="preserve">its </w:t>
      </w:r>
      <w:r w:rsidRPr="009614D1">
        <w:t xml:space="preserve">dwellings </w:t>
      </w:r>
      <w:r w:rsidR="008D0C25">
        <w:t>classified as</w:t>
      </w:r>
      <w:r w:rsidRPr="009614D1">
        <w:t xml:space="preserve"> small apartment buildings and 50% a</w:t>
      </w:r>
      <w:r w:rsidR="008D0C25">
        <w:t>s</w:t>
      </w:r>
      <w:r w:rsidRPr="009614D1">
        <w:t xml:space="preserve"> mid-to-larger apartment complexes</w:t>
      </w:r>
      <w:r w:rsidR="008D0C25">
        <w:t>. As such, the existing housing stock is ripe for repositioning while under-utilized parcels are primed redevelopment</w:t>
      </w:r>
      <w:r w:rsidRPr="009614D1">
        <w:t>.</w:t>
      </w:r>
      <w:r w:rsidR="008D0C25">
        <w:t>”</w:t>
      </w:r>
      <w:r>
        <w:t xml:space="preserve"> </w:t>
      </w:r>
      <w:r w:rsidRPr="009614D1">
        <w:t xml:space="preserve"> </w:t>
      </w:r>
      <w:r>
        <w:t xml:space="preserve">  </w:t>
      </w:r>
    </w:p>
    <w:p w14:paraId="312351D6" w14:textId="77777777" w:rsidR="007B2759" w:rsidRDefault="007B2759" w:rsidP="007B2759">
      <w:pPr>
        <w:pStyle w:val="NoSpacing"/>
        <w:rPr>
          <w:rFonts w:eastAsia="Times New Roman"/>
        </w:rPr>
      </w:pPr>
    </w:p>
    <w:p w14:paraId="46855574" w14:textId="2559A0E5" w:rsidR="00F325D5" w:rsidRDefault="007B2759" w:rsidP="008D0C25">
      <w:pPr>
        <w:pStyle w:val="NoSpacing"/>
        <w:rPr>
          <w:rFonts w:eastAsia="Times New Roman"/>
        </w:rPr>
      </w:pPr>
      <w:r>
        <w:rPr>
          <w:rFonts w:eastAsia="Times New Roman"/>
        </w:rPr>
        <w:t xml:space="preserve">Oropeza, who has spent his </w:t>
      </w:r>
      <w:r w:rsidRPr="009614D1">
        <w:rPr>
          <w:rFonts w:eastAsia="Times New Roman"/>
        </w:rPr>
        <w:t xml:space="preserve">entire </w:t>
      </w:r>
      <w:r>
        <w:rPr>
          <w:rFonts w:eastAsia="Times New Roman"/>
        </w:rPr>
        <w:t xml:space="preserve">35-year </w:t>
      </w:r>
      <w:r w:rsidRPr="009614D1">
        <w:rPr>
          <w:rFonts w:eastAsia="Times New Roman"/>
        </w:rPr>
        <w:t>professional investment brokerage career</w:t>
      </w:r>
      <w:r>
        <w:rPr>
          <w:rFonts w:eastAsia="Times New Roman"/>
        </w:rPr>
        <w:t xml:space="preserve"> </w:t>
      </w:r>
      <w:r w:rsidRPr="009614D1">
        <w:rPr>
          <w:rFonts w:eastAsia="Times New Roman"/>
        </w:rPr>
        <w:t>with Gebroe-Hammer Associates</w:t>
      </w:r>
      <w:r w:rsidR="008D0C25">
        <w:rPr>
          <w:rFonts w:eastAsia="Times New Roman"/>
        </w:rPr>
        <w:t xml:space="preserve"> </w:t>
      </w:r>
      <w:r w:rsidR="00F92E18">
        <w:rPr>
          <w:rFonts w:eastAsia="Times New Roman"/>
        </w:rPr>
        <w:t xml:space="preserve">and </w:t>
      </w:r>
      <w:r>
        <w:rPr>
          <w:rFonts w:eastAsia="Times New Roman"/>
        </w:rPr>
        <w:t>focus</w:t>
      </w:r>
      <w:r w:rsidR="008D0C25">
        <w:rPr>
          <w:rFonts w:eastAsia="Times New Roman"/>
        </w:rPr>
        <w:t>ing</w:t>
      </w:r>
      <w:r>
        <w:rPr>
          <w:rFonts w:eastAsia="Times New Roman"/>
        </w:rPr>
        <w:t xml:space="preserve"> on East Essex County,</w:t>
      </w:r>
      <w:r w:rsidR="008D0C25">
        <w:rPr>
          <w:rFonts w:eastAsia="Times New Roman"/>
        </w:rPr>
        <w:t xml:space="preserve"> notes this wave of multifamily investment in East Orange mirrors that of its urban neighbor Newark and is now extending into Orange and Irvington as well.</w:t>
      </w:r>
    </w:p>
    <w:p w14:paraId="78D20CAD" w14:textId="2D3D532B" w:rsidR="00611D2C" w:rsidRDefault="00611D2C" w:rsidP="008D0C25">
      <w:pPr>
        <w:pStyle w:val="NoSpacing"/>
        <w:rPr>
          <w:rFonts w:cs="Arial"/>
          <w:color w:val="000000"/>
        </w:rPr>
      </w:pPr>
    </w:p>
    <w:p w14:paraId="02BC1811" w14:textId="7E26686D" w:rsidR="00611D2C" w:rsidRPr="00431D3A" w:rsidRDefault="00611D2C" w:rsidP="00611D2C">
      <w:pPr>
        <w:pStyle w:val="NoSpacing"/>
        <w:rPr>
          <w:rFonts w:cs="Arial"/>
        </w:rPr>
      </w:pPr>
      <w:r>
        <w:rPr>
          <w:rFonts w:cs="Arial"/>
        </w:rPr>
        <w:t>“In just the past decade, East Orange has evolved from its urban industrial roots to become a</w:t>
      </w:r>
      <w:r w:rsidRPr="00431D3A">
        <w:rPr>
          <w:rFonts w:cs="Arial"/>
        </w:rPr>
        <w:t xml:space="preserve"> popular residential, business and tourist destination favored by </w:t>
      </w:r>
      <w:r>
        <w:rPr>
          <w:rFonts w:cs="Arial"/>
        </w:rPr>
        <w:t>professionals who work throughout North and Central Jersey as well as</w:t>
      </w:r>
      <w:r w:rsidRPr="00431D3A">
        <w:rPr>
          <w:rFonts w:cs="Arial"/>
        </w:rPr>
        <w:t xml:space="preserve"> </w:t>
      </w:r>
      <w:r>
        <w:rPr>
          <w:rFonts w:cs="Arial"/>
        </w:rPr>
        <w:t xml:space="preserve">New York City,” said Oropeza. “The city also experienced a surge in apartment-rental demand </w:t>
      </w:r>
      <w:r w:rsidR="00F92E18">
        <w:rPr>
          <w:rFonts w:cs="Arial"/>
        </w:rPr>
        <w:t>during the COVID-19 pandemic w</w:t>
      </w:r>
      <w:r>
        <w:rPr>
          <w:rFonts w:cs="Arial"/>
        </w:rPr>
        <w:t xml:space="preserve">ith the migration of former big-city dwellers who have chosen to remain in place in what has become a ‘new norm’ work-from-home era.” </w:t>
      </w:r>
    </w:p>
    <w:p w14:paraId="540B5010" w14:textId="5BCDE746" w:rsidR="008D0C25" w:rsidRDefault="008D0C25" w:rsidP="008D0C25">
      <w:pPr>
        <w:pStyle w:val="NoSpacing"/>
        <w:rPr>
          <w:rFonts w:eastAsia="Times New Roman"/>
        </w:rPr>
      </w:pPr>
    </w:p>
    <w:p w14:paraId="052E457F" w14:textId="2CF49000" w:rsidR="00611D2C" w:rsidRDefault="00611D2C" w:rsidP="008D0C25">
      <w:pPr>
        <w:pStyle w:val="NoSpacing"/>
      </w:pPr>
      <w:r>
        <w:rPr>
          <w:rFonts w:eastAsia="Times New Roman"/>
        </w:rPr>
        <w:t xml:space="preserve">According to Oropeza, East Orange’s renewal is </w:t>
      </w:r>
      <w:r w:rsidRPr="00A17756">
        <w:t xml:space="preserve">being driven by </w:t>
      </w:r>
      <w:r>
        <w:t xml:space="preserve">young professionals and established </w:t>
      </w:r>
      <w:r w:rsidRPr="00A17756">
        <w:t xml:space="preserve">millennials seeking affordable </w:t>
      </w:r>
      <w:r>
        <w:t>apartment-home</w:t>
      </w:r>
      <w:r w:rsidRPr="00A17756">
        <w:t xml:space="preserve"> living near employment centers, mass transit access</w:t>
      </w:r>
      <w:r>
        <w:t xml:space="preserve"> points</w:t>
      </w:r>
      <w:r w:rsidRPr="00A17756">
        <w:t>, educational centers and historic green space</w:t>
      </w:r>
      <w:r>
        <w:t xml:space="preserve">. The city has earned some of the highest walk scores in the nation thanks to a high concentration of </w:t>
      </w:r>
      <w:r w:rsidRPr="00A17756">
        <w:t xml:space="preserve">shopping, dining and </w:t>
      </w:r>
      <w:r>
        <w:t>lifestyle services</w:t>
      </w:r>
      <w:r w:rsidRPr="00A17756">
        <w:t>.</w:t>
      </w:r>
    </w:p>
    <w:p w14:paraId="79380A75" w14:textId="77777777" w:rsidR="00611D2C" w:rsidRDefault="00611D2C" w:rsidP="00611D2C">
      <w:pPr>
        <w:pStyle w:val="NoSpacing"/>
      </w:pPr>
    </w:p>
    <w:p w14:paraId="133B4FE4" w14:textId="0F30618C" w:rsidR="00611D2C" w:rsidRPr="00A17756" w:rsidRDefault="00611D2C" w:rsidP="00611D2C">
      <w:pPr>
        <w:pStyle w:val="NoSpacing"/>
      </w:pPr>
      <w:r>
        <w:t xml:space="preserve">“East Orange and its municipal neighbors also are home to outstanding institutions for higher learning, all of which serve as a feeder for the tenant pipeline,” said Oropeza. “In addition to </w:t>
      </w:r>
      <w:r w:rsidR="00F92E18">
        <w:t xml:space="preserve">educating </w:t>
      </w:r>
      <w:r>
        <w:t xml:space="preserve">bachelor’s, graduate, medical and law students, each </w:t>
      </w:r>
      <w:r w:rsidRPr="001376DC">
        <w:t>serve</w:t>
      </w:r>
      <w:r>
        <w:t>s</w:t>
      </w:r>
      <w:r w:rsidRPr="001376DC">
        <w:t xml:space="preserve"> as primary employment and research hubs</w:t>
      </w:r>
      <w:r>
        <w:t xml:space="preserve"> for a wide range of clerical/tech-support occupations, professors and high-level of executives</w:t>
      </w:r>
      <w:r w:rsidRPr="001376DC">
        <w:t>.</w:t>
      </w:r>
      <w:r>
        <w:t>”</w:t>
      </w:r>
    </w:p>
    <w:p w14:paraId="6B9502C3" w14:textId="77777777" w:rsidR="00611D2C" w:rsidRDefault="00611D2C" w:rsidP="00611D2C">
      <w:pPr>
        <w:pStyle w:val="NoSpacing"/>
      </w:pPr>
    </w:p>
    <w:p w14:paraId="20D05560" w14:textId="0CADAE0A" w:rsidR="00611D2C" w:rsidRPr="00A17756" w:rsidRDefault="00611D2C" w:rsidP="00611D2C">
      <w:pPr>
        <w:pStyle w:val="NoSpacing"/>
      </w:pPr>
      <w:r>
        <w:t xml:space="preserve">These </w:t>
      </w:r>
      <w:r w:rsidR="00F92E18">
        <w:t>colleges and universities include</w:t>
      </w:r>
      <w:r>
        <w:t xml:space="preserve"> NJIT, Rutgers University-Newark, Rutgers University’s Biomedical and Health Sciences Campus, Bloomfield College, Caldwell University, </w:t>
      </w:r>
      <w:r w:rsidRPr="001376DC">
        <w:t xml:space="preserve">Seton Hall University </w:t>
      </w:r>
      <w:r>
        <w:t xml:space="preserve">in South Orange, Seton Hall University Law School in Newark </w:t>
      </w:r>
      <w:r w:rsidRPr="001376DC">
        <w:t xml:space="preserve">and the newly opened Hackensack Meridian School of Medicine at Seton Hall University </w:t>
      </w:r>
      <w:r>
        <w:t xml:space="preserve">in Nutley as well as </w:t>
      </w:r>
      <w:r w:rsidRPr="001376DC">
        <w:t>Upsala College</w:t>
      </w:r>
      <w:r>
        <w:t xml:space="preserve">. </w:t>
      </w:r>
    </w:p>
    <w:p w14:paraId="3D452605" w14:textId="585C0F69" w:rsidR="00611D2C" w:rsidRDefault="00611D2C" w:rsidP="008D0C25">
      <w:pPr>
        <w:pStyle w:val="NoSpacing"/>
        <w:rPr>
          <w:rFonts w:eastAsia="Times New Roman"/>
        </w:rPr>
      </w:pPr>
    </w:p>
    <w:p w14:paraId="3C5DCE17" w14:textId="00A3C6DA" w:rsidR="001B799F" w:rsidRDefault="00F92E18" w:rsidP="001B799F">
      <w:pPr>
        <w:pStyle w:val="NoSpacing"/>
      </w:pPr>
      <w:r>
        <w:rPr>
          <w:rStyle w:val="mw-headline"/>
        </w:rPr>
        <w:t>At the root of East Orange’s resurgence is its overall c</w:t>
      </w:r>
      <w:r w:rsidR="001B799F">
        <w:rPr>
          <w:rStyle w:val="mw-headline"/>
        </w:rPr>
        <w:t>onnectivity</w:t>
      </w:r>
      <w:r>
        <w:rPr>
          <w:rStyle w:val="mw-headline"/>
        </w:rPr>
        <w:t>, which encompasses rail, bus and highways</w:t>
      </w:r>
      <w:r w:rsidR="001B799F">
        <w:t>. In total, the county has 1,667 miles of roadways traversed by a number of highways. Three primary interstates – I-95, 78 and 80 – and one auxiliary – I-280 – cross the county. Essex County also has four U.S. Routes, including 1 &amp; 9, Truck Route 1 &amp; 9, 22 and 46.</w:t>
      </w:r>
    </w:p>
    <w:p w14:paraId="5EC811C0" w14:textId="4C3204D0" w:rsidR="001B799F" w:rsidRDefault="001B799F" w:rsidP="008D0C25">
      <w:pPr>
        <w:pStyle w:val="NoSpacing"/>
        <w:rPr>
          <w:rFonts w:eastAsia="Times New Roman"/>
        </w:rPr>
      </w:pPr>
    </w:p>
    <w:p w14:paraId="16D49EBA" w14:textId="77777777" w:rsidR="001B799F" w:rsidRPr="00EE46B3" w:rsidRDefault="001B799F" w:rsidP="001B799F">
      <w:pPr>
        <w:pStyle w:val="NoSpacing"/>
        <w:rPr>
          <w:rFonts w:cs="Arial"/>
          <w:color w:val="000000" w:themeColor="text1"/>
        </w:rPr>
      </w:pPr>
      <w:r w:rsidRPr="00B54EC9">
        <w:rPr>
          <w:rStyle w:val="normaltextrun"/>
          <w:rFonts w:cs="Arial"/>
          <w:color w:val="000000" w:themeColor="text1"/>
        </w:rPr>
        <w:t>For 46 years, Gebroe-Hammer’s brokerage activities have concentrated on all multifamily types to serve the investment needs of a long-term client base of institutional investors, private equity funds, REITs, family offices and private individuals. While initially focused on New Jersey, the Livingston, N.J.-based firm has evolved to also dominate the Eastern Pennsylvania and New York State submarkets as well as represent client interests nationally. Widely recognized for its consistent sales performance, the firm is a 17-time CoStar Power Broker and is credited with arranging the largest portfolio sale in 2020 with the highest per-unit price for the MidAtlantic Region and in New Jersey.</w:t>
      </w:r>
      <w:r w:rsidRPr="00B54EC9">
        <w:rPr>
          <w:rStyle w:val="eop"/>
          <w:rFonts w:cs="Arial"/>
          <w:color w:val="000000" w:themeColor="text1"/>
        </w:rPr>
        <w:t xml:space="preserve"> </w:t>
      </w:r>
    </w:p>
    <w:p w14:paraId="35EF6C24" w14:textId="75D9F479" w:rsidR="001B799F" w:rsidRDefault="001B799F" w:rsidP="008D0C25">
      <w:pPr>
        <w:pStyle w:val="NoSpacing"/>
        <w:rPr>
          <w:rFonts w:eastAsia="Times New Roman"/>
        </w:rPr>
      </w:pPr>
    </w:p>
    <w:p w14:paraId="4584BAEC" w14:textId="2BEF8DE1" w:rsidR="001B799F" w:rsidRDefault="001B799F" w:rsidP="001B799F">
      <w:pPr>
        <w:pStyle w:val="NoSpacing"/>
        <w:jc w:val="center"/>
        <w:rPr>
          <w:rFonts w:eastAsia="Times New Roman"/>
        </w:rPr>
      </w:pPr>
      <w:r>
        <w:rPr>
          <w:rFonts w:eastAsia="Times New Roman"/>
        </w:rPr>
        <w:t>###</w:t>
      </w:r>
    </w:p>
    <w:p w14:paraId="30AEF03F" w14:textId="77777777" w:rsidR="001B799F" w:rsidRPr="008D0C25" w:rsidRDefault="001B799F" w:rsidP="008D0C25">
      <w:pPr>
        <w:pStyle w:val="NoSpacing"/>
        <w:rPr>
          <w:rFonts w:eastAsia="Times New Roman"/>
        </w:rPr>
      </w:pPr>
    </w:p>
    <w:sectPr w:rsidR="001B799F" w:rsidRPr="008D0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D5"/>
    <w:rsid w:val="00061697"/>
    <w:rsid w:val="00141ACE"/>
    <w:rsid w:val="001B799F"/>
    <w:rsid w:val="0055132F"/>
    <w:rsid w:val="005B31B4"/>
    <w:rsid w:val="00611D2C"/>
    <w:rsid w:val="007201A0"/>
    <w:rsid w:val="007B2759"/>
    <w:rsid w:val="007C5756"/>
    <w:rsid w:val="008D0C25"/>
    <w:rsid w:val="00A3574E"/>
    <w:rsid w:val="00C92157"/>
    <w:rsid w:val="00CF3B4D"/>
    <w:rsid w:val="00F325D5"/>
    <w:rsid w:val="00F9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302D"/>
  <w15:chartTrackingRefBased/>
  <w15:docId w15:val="{4209B8F9-9220-48FC-ADBB-679D915F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9F"/>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759"/>
    <w:pPr>
      <w:spacing w:after="0" w:line="240" w:lineRule="auto"/>
    </w:pPr>
  </w:style>
  <w:style w:type="character" w:customStyle="1" w:styleId="mw-headline">
    <w:name w:val="mw-headline"/>
    <w:basedOn w:val="DefaultParagraphFont"/>
    <w:rsid w:val="001B799F"/>
  </w:style>
  <w:style w:type="paragraph" w:customStyle="1" w:styleId="paragraph">
    <w:name w:val="paragraph"/>
    <w:basedOn w:val="Normal"/>
    <w:rsid w:val="001B799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B799F"/>
  </w:style>
  <w:style w:type="character" w:customStyle="1" w:styleId="eop">
    <w:name w:val="eop"/>
    <w:basedOn w:val="DefaultParagraphFont"/>
    <w:rsid w:val="001B799F"/>
  </w:style>
  <w:style w:type="character" w:styleId="Hyperlink">
    <w:name w:val="Hyperlink"/>
    <w:basedOn w:val="DefaultParagraphFont"/>
    <w:uiPriority w:val="99"/>
    <w:unhideWhenUsed/>
    <w:rsid w:val="00141ACE"/>
    <w:rPr>
      <w:color w:val="0563C1" w:themeColor="hyperlink"/>
      <w:u w:val="single"/>
    </w:rPr>
  </w:style>
  <w:style w:type="character" w:styleId="UnresolvedMention">
    <w:name w:val="Unresolved Mention"/>
    <w:basedOn w:val="DefaultParagraphFont"/>
    <w:uiPriority w:val="99"/>
    <w:semiHidden/>
    <w:unhideWhenUsed/>
    <w:rsid w:val="00141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8</cp:revision>
  <dcterms:created xsi:type="dcterms:W3CDTF">2021-09-28T11:20:00Z</dcterms:created>
  <dcterms:modified xsi:type="dcterms:W3CDTF">2021-10-01T18:13:00Z</dcterms:modified>
</cp:coreProperties>
</file>