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53A" w14:textId="71153357" w:rsidR="007842F2" w:rsidRDefault="00243DB0" w:rsidP="00243DB0">
      <w:pPr>
        <w:pStyle w:val="paragraph"/>
        <w:spacing w:before="0" w:beforeAutospacing="0" w:after="0" w:afterAutospacing="0"/>
        <w:jc w:val="center"/>
        <w:textAlignment w:val="baseline"/>
        <w:rPr>
          <w:rStyle w:val="normaltextrun"/>
          <w:rFonts w:ascii="Arial" w:hAnsi="Arial" w:cs="Arial"/>
        </w:rPr>
      </w:pPr>
      <w:r>
        <w:rPr>
          <w:rFonts w:ascii="Arial" w:hAnsi="Arial" w:cs="Arial"/>
          <w:noProof/>
        </w:rPr>
        <w:drawing>
          <wp:inline distT="0" distB="0" distL="0" distR="0" wp14:anchorId="4B5E7C74" wp14:editId="4BC51A96">
            <wp:extent cx="4051300" cy="655739"/>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4126" cy="667527"/>
                    </a:xfrm>
                    <a:prstGeom prst="rect">
                      <a:avLst/>
                    </a:prstGeom>
                  </pic:spPr>
                </pic:pic>
              </a:graphicData>
            </a:graphic>
          </wp:inline>
        </w:drawing>
      </w:r>
    </w:p>
    <w:p w14:paraId="6ABDD167" w14:textId="17C69F3B" w:rsidR="00243DB0" w:rsidRDefault="00243DB0" w:rsidP="00243DB0">
      <w:pPr>
        <w:pStyle w:val="paragraph"/>
        <w:spacing w:before="0" w:beforeAutospacing="0" w:after="0" w:afterAutospacing="0"/>
        <w:jc w:val="center"/>
        <w:textAlignment w:val="baseline"/>
        <w:rPr>
          <w:rStyle w:val="eop"/>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341B6AE" wp14:editId="02F82F6B">
                <wp:simplePos x="0" y="0"/>
                <wp:positionH relativeFrom="margin">
                  <wp:posOffset>-41275</wp:posOffset>
                </wp:positionH>
                <wp:positionV relativeFrom="paragraph">
                  <wp:posOffset>193040</wp:posOffset>
                </wp:positionV>
                <wp:extent cx="5956300" cy="31750"/>
                <wp:effectExtent l="0" t="19050" r="44450" b="44450"/>
                <wp:wrapNone/>
                <wp:docPr id="2" name="Straight Connector 2"/>
                <wp:cNvGraphicFramePr/>
                <a:graphic xmlns:a="http://schemas.openxmlformats.org/drawingml/2006/main">
                  <a:graphicData uri="http://schemas.microsoft.com/office/word/2010/wordprocessingShape">
                    <wps:wsp>
                      <wps:cNvCnPr/>
                      <wps:spPr>
                        <a:xfrm flipV="1">
                          <a:off x="0" y="0"/>
                          <a:ext cx="5956300" cy="31750"/>
                        </a:xfrm>
                        <a:prstGeom prst="line">
                          <a:avLst/>
                        </a:prstGeom>
                        <a:ln w="57150" cmpd="thickThi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587F9"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3.25pt,15.2pt" to="465.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" strokecolor="#1f3763 [1604]" strokeweight="4.5pt">
                <v:stroke linestyle="thickThin" joinstyle="miter"/>
                <w10:wrap anchorx="margin"/>
              </v:line>
            </w:pict>
          </mc:Fallback>
        </mc:AlternateContent>
      </w:r>
    </w:p>
    <w:p w14:paraId="39D74EBC" w14:textId="77777777" w:rsidR="00243DB0" w:rsidRPr="00243DB0" w:rsidRDefault="00243DB0" w:rsidP="00243DB0">
      <w:pPr>
        <w:pStyle w:val="paragraph"/>
        <w:spacing w:before="0" w:beforeAutospacing="0" w:after="0" w:afterAutospacing="0"/>
        <w:jc w:val="center"/>
        <w:textAlignment w:val="baseline"/>
        <w:rPr>
          <w:rStyle w:val="normaltextrun"/>
          <w:rFonts w:ascii="Arial" w:hAnsi="Arial" w:cs="Arial"/>
        </w:rPr>
      </w:pPr>
    </w:p>
    <w:p w14:paraId="4F3CB1E1" w14:textId="68C50E2D" w:rsidR="00243DB0" w:rsidRPr="00243DB0" w:rsidRDefault="00243DB0" w:rsidP="00243DB0">
      <w:pPr>
        <w:pStyle w:val="paragraph"/>
        <w:spacing w:before="0" w:beforeAutospacing="0" w:after="0" w:afterAutospacing="0"/>
        <w:textAlignment w:val="baseline"/>
        <w:rPr>
          <w:rStyle w:val="eop"/>
          <w:i/>
          <w:iCs/>
          <w:sz w:val="48"/>
          <w:szCs w:val="48"/>
        </w:rPr>
      </w:pPr>
      <w:r w:rsidRPr="00243DB0">
        <w:rPr>
          <w:rStyle w:val="normaltextrun"/>
          <w:i/>
          <w:iCs/>
          <w:sz w:val="48"/>
          <w:szCs w:val="48"/>
        </w:rPr>
        <w:t>News Release</w:t>
      </w:r>
    </w:p>
    <w:p w14:paraId="33138457" w14:textId="149F7501" w:rsidR="00243DB0" w:rsidRPr="007842F2" w:rsidRDefault="00243DB0" w:rsidP="007842F2">
      <w:pPr>
        <w:pStyle w:val="paragraph"/>
        <w:spacing w:before="0" w:beforeAutospacing="0" w:after="0" w:afterAutospacing="0"/>
        <w:textAlignment w:val="baseline"/>
        <w:rPr>
          <w:rFonts w:ascii="Segoe UI" w:hAnsi="Segoe UI" w:cs="Segoe UI"/>
          <w:sz w:val="18"/>
          <w:szCs w:val="18"/>
        </w:rPr>
      </w:pPr>
    </w:p>
    <w:p w14:paraId="5BCBA6BF" w14:textId="249C9F2A" w:rsidR="00281172" w:rsidRDefault="000E27D3" w:rsidP="004737DB">
      <w:pPr>
        <w:pStyle w:val="NoSpacing"/>
        <w:rPr>
          <w:b/>
          <w:bCs/>
        </w:rPr>
      </w:pPr>
      <w:r>
        <w:rPr>
          <w:b/>
          <w:bCs/>
        </w:rPr>
        <w:t xml:space="preserve">Gebroe-Hammer Associates </w:t>
      </w:r>
      <w:r w:rsidR="00281172">
        <w:rPr>
          <w:b/>
          <w:bCs/>
        </w:rPr>
        <w:t>Marks Midyear with $917+M in Multifamily Sales</w:t>
      </w:r>
    </w:p>
    <w:p w14:paraId="3845C922" w14:textId="560FF0B1" w:rsidR="000E27D3" w:rsidRPr="00281172" w:rsidRDefault="00281172" w:rsidP="004737DB">
      <w:pPr>
        <w:pStyle w:val="NoSpacing"/>
        <w:rPr>
          <w:i/>
          <w:iCs/>
        </w:rPr>
      </w:pPr>
      <w:r w:rsidRPr="00281172">
        <w:rPr>
          <w:i/>
          <w:iCs/>
        </w:rPr>
        <w:t>5</w:t>
      </w:r>
      <w:r w:rsidR="003C194F">
        <w:rPr>
          <w:i/>
          <w:iCs/>
        </w:rPr>
        <w:t xml:space="preserve">4 </w:t>
      </w:r>
      <w:r w:rsidRPr="00281172">
        <w:rPr>
          <w:i/>
          <w:iCs/>
        </w:rPr>
        <w:t>Deals involve 6,</w:t>
      </w:r>
      <w:r w:rsidR="003C194F">
        <w:rPr>
          <w:i/>
          <w:iCs/>
        </w:rPr>
        <w:t>052</w:t>
      </w:r>
      <w:r w:rsidRPr="00281172">
        <w:rPr>
          <w:i/>
          <w:iCs/>
        </w:rPr>
        <w:t xml:space="preserve"> Units </w:t>
      </w:r>
      <w:r>
        <w:rPr>
          <w:i/>
          <w:iCs/>
        </w:rPr>
        <w:t>a</w:t>
      </w:r>
      <w:r w:rsidRPr="00281172">
        <w:rPr>
          <w:i/>
          <w:iCs/>
        </w:rPr>
        <w:t>cross New Jersey/Greater Philadelphia Region</w:t>
      </w:r>
      <w:r w:rsidR="000E27D3" w:rsidRPr="00281172">
        <w:rPr>
          <w:i/>
          <w:iCs/>
        </w:rPr>
        <w:t xml:space="preserve"> </w:t>
      </w:r>
    </w:p>
    <w:p w14:paraId="4035E1C7" w14:textId="0E6DE6DA" w:rsidR="000E27D3" w:rsidRDefault="000379E2" w:rsidP="004737DB">
      <w:pPr>
        <w:pStyle w:val="NoSpacing"/>
        <w:rPr>
          <w:b/>
          <w:bCs/>
        </w:rPr>
      </w:pPr>
      <w:r>
        <w:rPr>
          <w:rFonts w:cs="Arial"/>
          <w:noProof/>
          <w:color w:val="333333"/>
          <w:shd w:val="clear" w:color="auto" w:fill="FFFFFF"/>
        </w:rPr>
        <w:drawing>
          <wp:anchor distT="0" distB="0" distL="114300" distR="114300" simplePos="0" relativeHeight="251658240" behindDoc="0" locked="0" layoutInCell="1" allowOverlap="1" wp14:anchorId="0D83F8FB" wp14:editId="666E1826">
            <wp:simplePos x="0" y="0"/>
            <wp:positionH relativeFrom="margin">
              <wp:align>left</wp:align>
            </wp:positionH>
            <wp:positionV relativeFrom="paragraph">
              <wp:posOffset>161925</wp:posOffset>
            </wp:positionV>
            <wp:extent cx="2762250" cy="1841500"/>
            <wp:effectExtent l="0" t="0" r="0" b="6350"/>
            <wp:wrapSquare wrapText="bothSides"/>
            <wp:docPr id="1" name="Picture 1" descr="A picture containing building, outdoor, porch, apar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porch, apart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74940" cy="1849960"/>
                    </a:xfrm>
                    <a:prstGeom prst="rect">
                      <a:avLst/>
                    </a:prstGeom>
                  </pic:spPr>
                </pic:pic>
              </a:graphicData>
            </a:graphic>
            <wp14:sizeRelH relativeFrom="margin">
              <wp14:pctWidth>0</wp14:pctWidth>
            </wp14:sizeRelH>
            <wp14:sizeRelV relativeFrom="margin">
              <wp14:pctHeight>0</wp14:pctHeight>
            </wp14:sizeRelV>
          </wp:anchor>
        </w:drawing>
      </w:r>
    </w:p>
    <w:p w14:paraId="1467C7B2" w14:textId="1A47A4F5" w:rsidR="00531586" w:rsidRPr="000379E2" w:rsidRDefault="00531586" w:rsidP="004737DB">
      <w:pPr>
        <w:pStyle w:val="NoSpacing"/>
        <w:rPr>
          <w:i/>
          <w:iCs/>
          <w:sz w:val="22"/>
        </w:rPr>
      </w:pPr>
      <w:r w:rsidRPr="000379E2">
        <w:rPr>
          <w:rFonts w:cs="Arial"/>
          <w:i/>
          <w:iCs/>
          <w:color w:val="333333"/>
          <w:sz w:val="22"/>
          <w:shd w:val="clear" w:color="auto" w:fill="FFFFFF"/>
        </w:rPr>
        <w:t>The Residences at North Village in Sparta, sold for $14.65M during Q2, is one of 54 deals arranged by Gebroe-Hammer Associates in 2021 thus far.</w:t>
      </w:r>
    </w:p>
    <w:p w14:paraId="15A93DB9" w14:textId="1BA2DCC6" w:rsidR="00531586" w:rsidRDefault="00531586" w:rsidP="004737DB">
      <w:pPr>
        <w:pStyle w:val="NoSpacing"/>
        <w:rPr>
          <w:b/>
          <w:bCs/>
        </w:rPr>
      </w:pPr>
    </w:p>
    <w:p w14:paraId="7EC8F44E" w14:textId="67B10DDE" w:rsidR="0099239C" w:rsidRPr="003C194F" w:rsidRDefault="00671F8D" w:rsidP="004737DB">
      <w:pPr>
        <w:pStyle w:val="NoSpacing"/>
      </w:pPr>
      <w:r w:rsidRPr="00876598">
        <w:rPr>
          <w:b/>
          <w:bCs/>
        </w:rPr>
        <w:t>Livingston, N.J., July</w:t>
      </w:r>
      <w:r w:rsidR="00531586">
        <w:rPr>
          <w:b/>
          <w:bCs/>
        </w:rPr>
        <w:t xml:space="preserve"> 28</w:t>
      </w:r>
      <w:r w:rsidRPr="00876598">
        <w:rPr>
          <w:b/>
          <w:bCs/>
        </w:rPr>
        <w:t>, 2021</w:t>
      </w:r>
      <w:r w:rsidRPr="004737DB">
        <w:t xml:space="preserve"> – </w:t>
      </w:r>
      <w:r w:rsidR="00D954EB" w:rsidRPr="004737DB">
        <w:t xml:space="preserve">Multifamily </w:t>
      </w:r>
      <w:r w:rsidRPr="004737DB">
        <w:t>revenue</w:t>
      </w:r>
      <w:r w:rsidR="00247CAE" w:rsidRPr="004737DB">
        <w:t>-</w:t>
      </w:r>
      <w:r w:rsidRPr="004737DB">
        <w:t>stream</w:t>
      </w:r>
      <w:r w:rsidR="00247CAE" w:rsidRPr="004737DB">
        <w:t xml:space="preserve"> clarity</w:t>
      </w:r>
      <w:r w:rsidR="00D954EB" w:rsidRPr="004737DB">
        <w:t xml:space="preserve"> and</w:t>
      </w:r>
      <w:r w:rsidR="004A4D22">
        <w:t xml:space="preserve"> </w:t>
      </w:r>
      <w:r w:rsidR="00CC3ECC">
        <w:t xml:space="preserve">reinforced </w:t>
      </w:r>
      <w:r w:rsidRPr="004737DB">
        <w:t>pricing</w:t>
      </w:r>
      <w:r w:rsidR="00D954EB" w:rsidRPr="004737DB">
        <w:t xml:space="preserve"> </w:t>
      </w:r>
      <w:r w:rsidR="0099239C" w:rsidRPr="004737DB">
        <w:t xml:space="preserve">have </w:t>
      </w:r>
      <w:r w:rsidR="00D954EB" w:rsidRPr="004737DB">
        <w:t>fed</w:t>
      </w:r>
      <w:r w:rsidR="0099239C" w:rsidRPr="004737DB">
        <w:t xml:space="preserve"> a </w:t>
      </w:r>
      <w:r w:rsidR="00B90655" w:rsidRPr="004737DB">
        <w:t xml:space="preserve">reported </w:t>
      </w:r>
      <w:r w:rsidR="0099239C" w:rsidRPr="004737DB">
        <w:t xml:space="preserve">$917+M in </w:t>
      </w:r>
      <w:r w:rsidR="00D954EB" w:rsidRPr="004737DB">
        <w:t xml:space="preserve">apartment-property </w:t>
      </w:r>
      <w:r w:rsidR="0099239C" w:rsidRPr="004737DB">
        <w:t xml:space="preserve">transactions for </w:t>
      </w:r>
      <w:hyperlink r:id="rId7" w:history="1">
        <w:r w:rsidR="0099239C" w:rsidRPr="00382182">
          <w:rPr>
            <w:rStyle w:val="Hyperlink"/>
          </w:rPr>
          <w:t>Gebroe-Hammer Associates</w:t>
        </w:r>
      </w:hyperlink>
      <w:r w:rsidR="0099239C" w:rsidRPr="004737DB">
        <w:t xml:space="preserve"> </w:t>
      </w:r>
      <w:r w:rsidR="00D954EB" w:rsidRPr="004737DB">
        <w:t>a</w:t>
      </w:r>
      <w:r w:rsidR="00876598">
        <w:t>s of</w:t>
      </w:r>
      <w:r w:rsidR="00D954EB" w:rsidRPr="004737DB">
        <w:t xml:space="preserve"> midyear – doubling</w:t>
      </w:r>
      <w:r w:rsidR="00B86010">
        <w:t xml:space="preserve"> </w:t>
      </w:r>
      <w:r w:rsidR="00D954EB" w:rsidRPr="004737DB">
        <w:t xml:space="preserve">sales </w:t>
      </w:r>
      <w:r w:rsidR="00CC3ECC">
        <w:t xml:space="preserve">over </w:t>
      </w:r>
      <w:r w:rsidR="00556538">
        <w:t xml:space="preserve">the same </w:t>
      </w:r>
      <w:r w:rsidR="00CC3ECC">
        <w:t xml:space="preserve">period </w:t>
      </w:r>
      <w:r w:rsidR="00D954EB" w:rsidRPr="004737DB">
        <w:t xml:space="preserve">last </w:t>
      </w:r>
      <w:r w:rsidR="00D954EB" w:rsidRPr="003C194F">
        <w:t>year</w:t>
      </w:r>
      <w:r w:rsidR="00CD2F95">
        <w:t>.</w:t>
      </w:r>
      <w:r w:rsidR="00CC3ECC">
        <w:t xml:space="preserve"> </w:t>
      </w:r>
      <w:r w:rsidR="00556538" w:rsidRPr="003C194F">
        <w:t>In total, t</w:t>
      </w:r>
      <w:r w:rsidR="0099239C" w:rsidRPr="003C194F">
        <w:t xml:space="preserve">he nationally ranked multifamily-focused investment </w:t>
      </w:r>
      <w:r w:rsidR="00C758B4" w:rsidRPr="003C194F">
        <w:t xml:space="preserve">brokerage </w:t>
      </w:r>
      <w:r w:rsidR="0099239C" w:rsidRPr="003C194F">
        <w:t xml:space="preserve">firm </w:t>
      </w:r>
      <w:r w:rsidR="00876598" w:rsidRPr="003C194F">
        <w:t xml:space="preserve">has </w:t>
      </w:r>
      <w:r w:rsidR="00556538" w:rsidRPr="003C194F">
        <w:t xml:space="preserve">arranged </w:t>
      </w:r>
      <w:r w:rsidR="003C194F" w:rsidRPr="003C194F">
        <w:t>54</w:t>
      </w:r>
      <w:r w:rsidR="00876598" w:rsidRPr="003C194F">
        <w:t xml:space="preserve"> deals involving</w:t>
      </w:r>
      <w:r w:rsidR="001769B2" w:rsidRPr="003C194F">
        <w:t xml:space="preserve"> 6,052 units </w:t>
      </w:r>
      <w:r w:rsidR="00B86010" w:rsidRPr="003C194F">
        <w:t>during the first two quarters of 2021</w:t>
      </w:r>
      <w:r w:rsidR="00876598" w:rsidRPr="003C194F">
        <w:t xml:space="preserve">. </w:t>
      </w:r>
    </w:p>
    <w:p w14:paraId="627ABF14" w14:textId="77777777" w:rsidR="004737DB" w:rsidRDefault="004737DB" w:rsidP="004737DB">
      <w:pPr>
        <w:pStyle w:val="NoSpacing"/>
      </w:pPr>
    </w:p>
    <w:p w14:paraId="08C1A43A" w14:textId="77777777" w:rsidR="004027AD" w:rsidRDefault="00B90655" w:rsidP="004737DB">
      <w:pPr>
        <w:pStyle w:val="NoSpacing"/>
      </w:pPr>
      <w:r w:rsidRPr="004737DB">
        <w:t>“As expected</w:t>
      </w:r>
      <w:r w:rsidR="00163ED6" w:rsidRPr="004737DB">
        <w:t>,</w:t>
      </w:r>
      <w:r w:rsidRPr="004737DB">
        <w:t xml:space="preserve"> multifamily investment volume </w:t>
      </w:r>
      <w:r w:rsidR="003C3D49" w:rsidRPr="004737DB">
        <w:t xml:space="preserve">and demand </w:t>
      </w:r>
      <w:r w:rsidRPr="004737DB">
        <w:t xml:space="preserve">has </w:t>
      </w:r>
      <w:r w:rsidR="003C3D49" w:rsidRPr="004737DB">
        <w:t>more than</w:t>
      </w:r>
      <w:r w:rsidR="008120B4">
        <w:t xml:space="preserve"> </w:t>
      </w:r>
      <w:r w:rsidR="008120B4" w:rsidRPr="00F126A7">
        <w:t>just ‘</w:t>
      </w:r>
      <w:r w:rsidRPr="004737DB">
        <w:t>p</w:t>
      </w:r>
      <w:r w:rsidR="003C3D49" w:rsidRPr="004737DB">
        <w:t>i</w:t>
      </w:r>
      <w:r w:rsidRPr="004737DB">
        <w:t>cked up</w:t>
      </w:r>
      <w:r w:rsidR="00C868F9">
        <w:t>,</w:t>
      </w:r>
      <w:r w:rsidR="008120B4">
        <w:t>’</w:t>
      </w:r>
      <w:r w:rsidR="00C868F9">
        <w:t xml:space="preserve"> </w:t>
      </w:r>
      <w:r w:rsidR="003C3D49" w:rsidRPr="004737DB">
        <w:t>it has skyrocketed</w:t>
      </w:r>
      <w:r w:rsidR="00B86010">
        <w:t xml:space="preserve"> thanks to</w:t>
      </w:r>
      <w:r w:rsidR="003C3D49" w:rsidRPr="004737DB">
        <w:t xml:space="preserve"> positive performance metrics</w:t>
      </w:r>
      <w:r w:rsidR="000F5D63">
        <w:t>,</w:t>
      </w:r>
      <w:r w:rsidR="003C3D49" w:rsidRPr="004737DB">
        <w:t xml:space="preserve"> </w:t>
      </w:r>
      <w:r w:rsidR="00DE4B3C">
        <w:t xml:space="preserve">the </w:t>
      </w:r>
      <w:r w:rsidR="000F5D63">
        <w:t>proverbial light at the end of the pandemic tunnel getting brighter</w:t>
      </w:r>
      <w:r w:rsidR="00CC3ECC">
        <w:t xml:space="preserve">, </w:t>
      </w:r>
      <w:r w:rsidR="00060EE2">
        <w:t xml:space="preserve">strong </w:t>
      </w:r>
      <w:r w:rsidR="00CC3ECC">
        <w:t xml:space="preserve">gains in effective rents </w:t>
      </w:r>
      <w:r w:rsidRPr="004737DB">
        <w:t>and a</w:t>
      </w:r>
      <w:r w:rsidR="000F5D63">
        <w:t xml:space="preserve"> continued</w:t>
      </w:r>
      <w:r w:rsidRPr="004737DB">
        <w:t xml:space="preserve"> low-interest rate environment</w:t>
      </w:r>
      <w:r w:rsidR="00B86010">
        <w:t>, which should extend well into the</w:t>
      </w:r>
      <w:r w:rsidR="003C3D49" w:rsidRPr="004737DB">
        <w:t xml:space="preserve"> foreseeable future</w:t>
      </w:r>
      <w:r w:rsidRPr="004737DB">
        <w:t xml:space="preserve">,” said </w:t>
      </w:r>
      <w:r w:rsidR="00577D83">
        <w:t xml:space="preserve">firm President </w:t>
      </w:r>
      <w:r w:rsidRPr="004737DB">
        <w:t>Ken Uranowitz</w:t>
      </w:r>
      <w:r w:rsidR="00577D83">
        <w:t>, who has experienced every recessionary period since joining Gebroe-Hammer Associates at its inception 46 years ago</w:t>
      </w:r>
      <w:r w:rsidRPr="004737DB">
        <w:t xml:space="preserve">. </w:t>
      </w:r>
    </w:p>
    <w:p w14:paraId="524CD3FA" w14:textId="77777777" w:rsidR="004027AD" w:rsidRDefault="004027AD" w:rsidP="004737DB">
      <w:pPr>
        <w:pStyle w:val="NoSpacing"/>
      </w:pPr>
    </w:p>
    <w:p w14:paraId="5165F31B" w14:textId="247ED1A0" w:rsidR="00163ED6" w:rsidRPr="004737DB" w:rsidRDefault="00B90655" w:rsidP="004737DB">
      <w:pPr>
        <w:pStyle w:val="NoSpacing"/>
      </w:pPr>
      <w:r w:rsidRPr="004737DB">
        <w:t xml:space="preserve">“While </w:t>
      </w:r>
      <w:r w:rsidR="00A75A13">
        <w:t xml:space="preserve">a number of </w:t>
      </w:r>
      <w:r w:rsidR="00DE4B3C" w:rsidRPr="00A15EBA">
        <w:t>notable</w:t>
      </w:r>
      <w:r w:rsidR="00A15EBA">
        <w:rPr>
          <w:color w:val="FF0000"/>
        </w:rPr>
        <w:t xml:space="preserve"> </w:t>
      </w:r>
      <w:r w:rsidR="00A75A13">
        <w:t>economists</w:t>
      </w:r>
      <w:r w:rsidRPr="004737DB">
        <w:t xml:space="preserve"> </w:t>
      </w:r>
      <w:r w:rsidR="00A75A13">
        <w:t>projected</w:t>
      </w:r>
      <w:r w:rsidR="003C3D49" w:rsidRPr="004737DB">
        <w:t xml:space="preserve"> a</w:t>
      </w:r>
      <w:r w:rsidR="003C5947">
        <w:t xml:space="preserve"> </w:t>
      </w:r>
      <w:r w:rsidR="003C5947" w:rsidRPr="00A15EBA">
        <w:t>25% to 33</w:t>
      </w:r>
      <w:r w:rsidR="004A4D22">
        <w:t xml:space="preserve">% </w:t>
      </w:r>
      <w:r w:rsidR="003C3D49" w:rsidRPr="004737DB">
        <w:t xml:space="preserve">increase </w:t>
      </w:r>
      <w:r w:rsidR="00A75A13">
        <w:t xml:space="preserve">in multifamily sales </w:t>
      </w:r>
      <w:r w:rsidR="003C3D49" w:rsidRPr="004737DB">
        <w:t>over last yea</w:t>
      </w:r>
      <w:r w:rsidR="003C5947">
        <w:t xml:space="preserve">r, </w:t>
      </w:r>
      <w:r w:rsidR="003C3D49" w:rsidRPr="004737DB">
        <w:t>Gebroe-Hammer’s</w:t>
      </w:r>
      <w:r w:rsidRPr="004737DB">
        <w:t xml:space="preserve"> market specialists have </w:t>
      </w:r>
      <w:r w:rsidR="003C3D49" w:rsidRPr="004737DB">
        <w:t>shattered this benchmark</w:t>
      </w:r>
      <w:r w:rsidR="00CD2F95">
        <w:t xml:space="preserve"> </w:t>
      </w:r>
      <w:r w:rsidR="003C3D49" w:rsidRPr="004737DB">
        <w:t xml:space="preserve">and are reporting a robust pipeline of exclusive </w:t>
      </w:r>
      <w:r w:rsidR="00B86010">
        <w:t xml:space="preserve">and rare-to-market </w:t>
      </w:r>
      <w:r w:rsidR="003C3D49" w:rsidRPr="004737DB">
        <w:t>listing</w:t>
      </w:r>
      <w:r w:rsidR="00577D83">
        <w:t>s</w:t>
      </w:r>
      <w:r w:rsidR="003C5947">
        <w:t xml:space="preserve"> that will extend this streak through year end</w:t>
      </w:r>
      <w:r w:rsidR="004027AD">
        <w:t>,</w:t>
      </w:r>
      <w:r w:rsidR="003C3D49" w:rsidRPr="004737DB">
        <w:t>”</w:t>
      </w:r>
      <w:r w:rsidR="004027AD">
        <w:t xml:space="preserve"> he said.</w:t>
      </w:r>
      <w:r w:rsidRPr="004737DB">
        <w:t xml:space="preserve"> </w:t>
      </w:r>
      <w:r w:rsidR="00247CAE" w:rsidRPr="004737DB">
        <w:t xml:space="preserve"> </w:t>
      </w:r>
    </w:p>
    <w:p w14:paraId="4000A03A" w14:textId="0EC8B95C" w:rsidR="004737DB" w:rsidRDefault="004737DB" w:rsidP="004737DB">
      <w:pPr>
        <w:pStyle w:val="NoSpacing"/>
      </w:pPr>
    </w:p>
    <w:p w14:paraId="36282470" w14:textId="3EC280EC" w:rsidR="00577D83" w:rsidRPr="004737DB" w:rsidRDefault="00577D83" w:rsidP="00577D83">
      <w:pPr>
        <w:pStyle w:val="NoSpacing"/>
      </w:pPr>
      <w:r>
        <w:t>From January through June, Gebroe-Hammer’s market specialists have been active across the entire state of New Jersey, long considered a haven for former</w:t>
      </w:r>
      <w:r w:rsidR="0015027A">
        <w:t xml:space="preserve"> </w:t>
      </w:r>
      <w:r>
        <w:t>Manhattanites priced out of New York City’s gentrified</w:t>
      </w:r>
      <w:r w:rsidR="00C758B4">
        <w:t xml:space="preserve"> </w:t>
      </w:r>
      <w:r>
        <w:t>boroughs. Sales spanned North</w:t>
      </w:r>
      <w:r w:rsidR="00E9326C">
        <w:t xml:space="preserve">, </w:t>
      </w:r>
      <w:r w:rsidRPr="00E9326C">
        <w:t>Central and South Jersey</w:t>
      </w:r>
      <w:r w:rsidR="00E9326C" w:rsidRPr="00E9326C">
        <w:t xml:space="preserve"> </w:t>
      </w:r>
      <w:r w:rsidRPr="00E9326C">
        <w:t>as well as the Greater Philadelphia Region.</w:t>
      </w:r>
    </w:p>
    <w:p w14:paraId="457BB6FF" w14:textId="77777777" w:rsidR="00577D83" w:rsidRDefault="00577D83" w:rsidP="004737DB">
      <w:pPr>
        <w:pStyle w:val="NoSpacing"/>
      </w:pPr>
    </w:p>
    <w:p w14:paraId="4F5C55BD" w14:textId="77777777" w:rsidR="004027AD" w:rsidRDefault="00163ED6" w:rsidP="004737DB">
      <w:pPr>
        <w:pStyle w:val="NoSpacing"/>
      </w:pPr>
      <w:r w:rsidRPr="004737DB">
        <w:t xml:space="preserve">According to Uranowitz, </w:t>
      </w:r>
      <w:r w:rsidR="00D2267D" w:rsidRPr="004737DB">
        <w:t xml:space="preserve">the multifamily </w:t>
      </w:r>
      <w:r w:rsidRPr="004737DB">
        <w:t>recovery continue</w:t>
      </w:r>
      <w:r w:rsidR="00D11336" w:rsidRPr="004737DB">
        <w:t>s</w:t>
      </w:r>
      <w:r w:rsidRPr="004737DB">
        <w:t xml:space="preserve"> to accelerate in </w:t>
      </w:r>
      <w:r w:rsidR="00D11336" w:rsidRPr="004737DB">
        <w:t>a</w:t>
      </w:r>
      <w:r w:rsidRPr="004737DB">
        <w:t xml:space="preserve"> </w:t>
      </w:r>
      <w:r w:rsidR="00D11336" w:rsidRPr="004737DB">
        <w:t>positive</w:t>
      </w:r>
      <w:r w:rsidRPr="004737DB">
        <w:t xml:space="preserve"> direction</w:t>
      </w:r>
      <w:r w:rsidR="00A75A13">
        <w:t xml:space="preserve">. He attributes this </w:t>
      </w:r>
      <w:r w:rsidRPr="004737DB">
        <w:t xml:space="preserve">to </w:t>
      </w:r>
      <w:r w:rsidR="00D2267D" w:rsidRPr="004737DB">
        <w:t>vaccine rollout</w:t>
      </w:r>
      <w:r w:rsidR="003C5947">
        <w:t>s</w:t>
      </w:r>
      <w:r w:rsidR="001769B2" w:rsidRPr="00F126A7">
        <w:t xml:space="preserve">, </w:t>
      </w:r>
      <w:r w:rsidR="00F126A7">
        <w:t xml:space="preserve">a </w:t>
      </w:r>
      <w:r w:rsidR="001769B2" w:rsidRPr="00F126A7">
        <w:t xml:space="preserve">lack of </w:t>
      </w:r>
      <w:r w:rsidR="008120B4" w:rsidRPr="00F126A7">
        <w:t>single-family</w:t>
      </w:r>
      <w:r w:rsidR="009A7F30" w:rsidRPr="00F126A7">
        <w:t xml:space="preserve"> home supply and </w:t>
      </w:r>
      <w:r w:rsidR="001769B2" w:rsidRPr="00F126A7">
        <w:t>affor</w:t>
      </w:r>
      <w:r w:rsidR="009A7F30" w:rsidRPr="00F126A7">
        <w:t xml:space="preserve">dability </w:t>
      </w:r>
      <w:r w:rsidR="00577D83" w:rsidRPr="00F126A7">
        <w:t xml:space="preserve">and a </w:t>
      </w:r>
      <w:r w:rsidR="008120B4" w:rsidRPr="00F126A7">
        <w:t>long</w:t>
      </w:r>
      <w:r w:rsidR="00F126A7">
        <w:t>-</w:t>
      </w:r>
      <w:r w:rsidR="008120B4" w:rsidRPr="00F126A7">
        <w:t>term, very accommodative Fed monetary policy.</w:t>
      </w:r>
      <w:r w:rsidRPr="00F126A7">
        <w:t xml:space="preserve"> </w:t>
      </w:r>
      <w:r w:rsidR="00976D16">
        <w:t xml:space="preserve">As is typically </w:t>
      </w:r>
      <w:r w:rsidR="00976D16">
        <w:lastRenderedPageBreak/>
        <w:t>the case, c</w:t>
      </w:r>
      <w:r w:rsidR="00D2267D" w:rsidRPr="004737DB">
        <w:t xml:space="preserve">ertain markets </w:t>
      </w:r>
      <w:r w:rsidR="00C758B4">
        <w:t xml:space="preserve">nationwide </w:t>
      </w:r>
      <w:r w:rsidR="00D2267D" w:rsidRPr="004737DB">
        <w:t xml:space="preserve">have fared better than others, most notably the New Jersey Metro. </w:t>
      </w:r>
    </w:p>
    <w:p w14:paraId="7DB6E3C9" w14:textId="77777777" w:rsidR="004027AD" w:rsidRDefault="004027AD" w:rsidP="004737DB">
      <w:pPr>
        <w:pStyle w:val="NoSpacing"/>
      </w:pPr>
    </w:p>
    <w:p w14:paraId="1D584F02" w14:textId="24522089" w:rsidR="00D2267D" w:rsidRDefault="00D2267D" w:rsidP="004737DB">
      <w:pPr>
        <w:pStyle w:val="NoSpacing"/>
      </w:pPr>
      <w:r w:rsidRPr="004737DB">
        <w:t>“</w:t>
      </w:r>
      <w:r w:rsidR="0009045A">
        <w:t>C</w:t>
      </w:r>
      <w:r w:rsidR="00976D16">
        <w:t xml:space="preserve">onsidered an edge-city market, the Garden State </w:t>
      </w:r>
      <w:r w:rsidR="004737DB" w:rsidRPr="004737DB">
        <w:t>offers plenty of big-city urban</w:t>
      </w:r>
      <w:r w:rsidR="00976D16">
        <w:t>-</w:t>
      </w:r>
      <w:r w:rsidR="004737DB" w:rsidRPr="004737DB">
        <w:t>living options in the form of suburban transit-village setting</w:t>
      </w:r>
      <w:r w:rsidR="00976D16">
        <w:t>s,</w:t>
      </w:r>
      <w:r w:rsidR="004737DB" w:rsidRPr="004737DB">
        <w:t>”</w:t>
      </w:r>
      <w:r w:rsidR="00976D16">
        <w:t xml:space="preserve"> said Executive Managing Director David Oropeza. “</w:t>
      </w:r>
      <w:r w:rsidR="0009045A">
        <w:t xml:space="preserve">Suburbs offer </w:t>
      </w:r>
      <w:r w:rsidR="00976D16">
        <w:t>rent savings, more living space, top-ranked walkable neighborhoods, proximity to central business districts and –</w:t>
      </w:r>
      <w:r w:rsidR="003C5947">
        <w:t xml:space="preserve"> perhaps</w:t>
      </w:r>
      <w:r w:rsidR="00976D16">
        <w:t xml:space="preserve"> the most</w:t>
      </w:r>
      <w:r w:rsidR="003C5947">
        <w:t>-</w:t>
      </w:r>
      <w:r w:rsidR="00976D16">
        <w:t xml:space="preserve">important lifestyle amenity – access to outdoor spaces for gatherings and recreation.” </w:t>
      </w:r>
    </w:p>
    <w:p w14:paraId="2CE8E9E0" w14:textId="7E6101AD" w:rsidR="0009045A" w:rsidRDefault="0009045A" w:rsidP="004737DB">
      <w:pPr>
        <w:pStyle w:val="NoSpacing"/>
      </w:pPr>
    </w:p>
    <w:p w14:paraId="48517FA0" w14:textId="77777777" w:rsidR="004027AD" w:rsidRDefault="0009045A" w:rsidP="004737DB">
      <w:pPr>
        <w:pStyle w:val="NoSpacing"/>
      </w:pPr>
      <w:r>
        <w:t xml:space="preserve">Another phenomenon feeding the tenant cohort in urban suburbia is “unbundling,” which </w:t>
      </w:r>
      <w:r w:rsidRPr="00F126A7">
        <w:t xml:space="preserve">refers to the wave </w:t>
      </w:r>
      <w:r w:rsidR="004868A9">
        <w:t xml:space="preserve">of </w:t>
      </w:r>
      <w:r w:rsidRPr="00F126A7">
        <w:t>post-bac</w:t>
      </w:r>
      <w:r w:rsidR="00F8217E" w:rsidRPr="00F126A7">
        <w:t>helor’s degree</w:t>
      </w:r>
      <w:r w:rsidR="008120B4" w:rsidRPr="00F126A7">
        <w:t xml:space="preserve"> </w:t>
      </w:r>
      <w:r w:rsidRPr="00F126A7">
        <w:t xml:space="preserve">career starters </w:t>
      </w:r>
      <w:r w:rsidR="004868A9">
        <w:t xml:space="preserve">who are </w:t>
      </w:r>
      <w:r w:rsidRPr="00F126A7">
        <w:t>moving out of their parents’</w:t>
      </w:r>
      <w:r>
        <w:t xml:space="preserve"> homes</w:t>
      </w:r>
      <w:r w:rsidR="004868A9">
        <w:t xml:space="preserve">. This mid-20-something </w:t>
      </w:r>
      <w:r w:rsidR="00AA1ED9">
        <w:t>Gen</w:t>
      </w:r>
      <w:r w:rsidR="004027AD">
        <w:t>-</w:t>
      </w:r>
      <w:r w:rsidR="00AA1ED9">
        <w:t xml:space="preserve">Z </w:t>
      </w:r>
      <w:r w:rsidR="004868A9">
        <w:t>cohort benefitted from telecommuting</w:t>
      </w:r>
      <w:r w:rsidR="00C758B4">
        <w:t>, sought comfort</w:t>
      </w:r>
      <w:r w:rsidR="00CD2F95">
        <w:t xml:space="preserve"> with family</w:t>
      </w:r>
      <w:r w:rsidR="00C758B4">
        <w:t xml:space="preserve"> and established a </w:t>
      </w:r>
      <w:r w:rsidR="00C758B4" w:rsidRPr="002A3B26">
        <w:t>nest egg</w:t>
      </w:r>
      <w:r w:rsidR="003C5947">
        <w:t xml:space="preserve"> during the past 12-14 months</w:t>
      </w:r>
      <w:r w:rsidR="004868A9">
        <w:t xml:space="preserve"> that</w:t>
      </w:r>
      <w:r w:rsidR="00CD2F95">
        <w:t xml:space="preserve"> is now being </w:t>
      </w:r>
      <w:r w:rsidR="00AA1ED9">
        <w:t>allocated for apartment rent.</w:t>
      </w:r>
      <w:r w:rsidR="004868A9">
        <w:t xml:space="preserve"> </w:t>
      </w:r>
    </w:p>
    <w:p w14:paraId="222E58B5" w14:textId="77777777" w:rsidR="004027AD" w:rsidRDefault="004027AD" w:rsidP="004737DB">
      <w:pPr>
        <w:pStyle w:val="NoSpacing"/>
      </w:pPr>
    </w:p>
    <w:p w14:paraId="6A8A38BD" w14:textId="4A663704" w:rsidR="0009045A" w:rsidRPr="004027AD" w:rsidRDefault="00AA1ED9" w:rsidP="004737DB">
      <w:pPr>
        <w:pStyle w:val="NoSpacing"/>
        <w:rPr>
          <w:highlight w:val="yellow"/>
        </w:rPr>
      </w:pPr>
      <w:r>
        <w:t xml:space="preserve">As a result, </w:t>
      </w:r>
      <w:r w:rsidR="004027AD">
        <w:t xml:space="preserve">Gen Z </w:t>
      </w:r>
      <w:r w:rsidR="0009045A" w:rsidRPr="00CD2F95">
        <w:t xml:space="preserve">is filling the gap </w:t>
      </w:r>
      <w:r w:rsidR="00E5795A" w:rsidRPr="00CD2F95">
        <w:t xml:space="preserve">left by </w:t>
      </w:r>
      <w:r w:rsidR="0009045A" w:rsidRPr="00CD2F95">
        <w:t>midlife millennials</w:t>
      </w:r>
      <w:r w:rsidR="00E5795A" w:rsidRPr="00CD2F95">
        <w:t xml:space="preserve"> driven into the single-family homebuying market</w:t>
      </w:r>
      <w:r w:rsidR="004027AD">
        <w:t xml:space="preserve"> during the pandemic</w:t>
      </w:r>
      <w:r>
        <w:t xml:space="preserve">. </w:t>
      </w:r>
      <w:r w:rsidR="00881CEA">
        <w:t xml:space="preserve">Despite the surge </w:t>
      </w:r>
      <w:r>
        <w:t>of millennials who sought to buy a home</w:t>
      </w:r>
      <w:r w:rsidR="004027AD">
        <w:t xml:space="preserve">, many were unable to do so in a market where </w:t>
      </w:r>
      <w:r w:rsidR="00E5795A" w:rsidRPr="00CD2F95">
        <w:t xml:space="preserve">supply </w:t>
      </w:r>
      <w:r>
        <w:t>is</w:t>
      </w:r>
      <w:r w:rsidR="00DC2F13" w:rsidRPr="00CD2F95">
        <w:t xml:space="preserve"> fall</w:t>
      </w:r>
      <w:r>
        <w:t>ing</w:t>
      </w:r>
      <w:r w:rsidR="00DC2F13" w:rsidRPr="00CD2F95">
        <w:t xml:space="preserve"> extremely short of</w:t>
      </w:r>
      <w:r w:rsidR="00E5795A" w:rsidRPr="00CD2F95">
        <w:t xml:space="preserve"> demand</w:t>
      </w:r>
      <w:r w:rsidR="0015027A" w:rsidRPr="00CD2F95">
        <w:t xml:space="preserve"> and a significant percentage </w:t>
      </w:r>
      <w:r w:rsidR="004027AD">
        <w:t>lacked</w:t>
      </w:r>
      <w:r w:rsidR="000F5D63" w:rsidRPr="00CD2F95">
        <w:t xml:space="preserve"> enough cash for a </w:t>
      </w:r>
      <w:proofErr w:type="spellStart"/>
      <w:r w:rsidR="000F5D63" w:rsidRPr="00CD2F95">
        <w:t>downpayment</w:t>
      </w:r>
      <w:proofErr w:type="spellEnd"/>
      <w:r w:rsidR="00E5795A" w:rsidRPr="00CD2F95">
        <w:t>.</w:t>
      </w:r>
      <w:r w:rsidR="004027AD">
        <w:t xml:space="preserve"> Consequently, </w:t>
      </w:r>
      <w:r w:rsidR="00E5795A" w:rsidRPr="00CD2F95">
        <w:t>established millennials have remained an important part of the renter pool.</w:t>
      </w:r>
      <w:r w:rsidR="00E5795A">
        <w:t xml:space="preserve"> </w:t>
      </w:r>
    </w:p>
    <w:p w14:paraId="501A2C67" w14:textId="021BA663" w:rsidR="00976D16" w:rsidRDefault="00976D16" w:rsidP="004737DB">
      <w:pPr>
        <w:pStyle w:val="NoSpacing"/>
      </w:pPr>
    </w:p>
    <w:p w14:paraId="45205DA1" w14:textId="126BF499" w:rsidR="003C5947" w:rsidRDefault="00E5795A" w:rsidP="004737DB">
      <w:pPr>
        <w:pStyle w:val="NoSpacing"/>
      </w:pPr>
      <w:r>
        <w:t xml:space="preserve">“The tenant pipeline </w:t>
      </w:r>
      <w:r w:rsidR="00DC2F13">
        <w:t xml:space="preserve">is extremely </w:t>
      </w:r>
      <w:r>
        <w:t xml:space="preserve">healthy, extending across two highly educated cohorts with existing or immediate-future </w:t>
      </w:r>
      <w:r w:rsidR="007842F2">
        <w:t>upper-income earning</w:t>
      </w:r>
      <w:r>
        <w:t xml:space="preserve"> potential,” said Joseph Brecher, executive managing director. “Consequently, there is tremendous invest</w:t>
      </w:r>
      <w:r w:rsidR="00DC2F13">
        <w:t>or</w:t>
      </w:r>
      <w:r>
        <w:t xml:space="preserve"> interest in Class A new-construction product as well as older existing properties that have been recently renovated with</w:t>
      </w:r>
      <w:r w:rsidR="00AD70F2">
        <w:t xml:space="preserve"> – </w:t>
      </w:r>
      <w:r>
        <w:t xml:space="preserve">or </w:t>
      </w:r>
      <w:r w:rsidR="007842F2">
        <w:t xml:space="preserve">have the </w:t>
      </w:r>
      <w:r>
        <w:t xml:space="preserve">potential to benefit from implementation of </w:t>
      </w:r>
      <w:r w:rsidR="00AD70F2">
        <w:t xml:space="preserve">– </w:t>
      </w:r>
      <w:r>
        <w:t>at-market features</w:t>
      </w:r>
      <w:r w:rsidR="00AD70F2">
        <w:t xml:space="preserve">, especially in kitchens </w:t>
      </w:r>
      <w:r w:rsidR="00AD70F2" w:rsidRPr="00F126A7">
        <w:t>and baths</w:t>
      </w:r>
      <w:r w:rsidR="00F27B01" w:rsidRPr="00F126A7">
        <w:t xml:space="preserve"> and other in-demand amenities</w:t>
      </w:r>
      <w:r w:rsidR="00F126A7">
        <w:t>.</w:t>
      </w:r>
      <w:r w:rsidRPr="00F126A7">
        <w:t xml:space="preserve">” </w:t>
      </w:r>
    </w:p>
    <w:p w14:paraId="005A9A5A" w14:textId="77777777" w:rsidR="003C5947" w:rsidRDefault="003C5947" w:rsidP="004737DB">
      <w:pPr>
        <w:pStyle w:val="NoSpacing"/>
      </w:pPr>
    </w:p>
    <w:p w14:paraId="567CECFF" w14:textId="7A1C35FA" w:rsidR="00FF1FB6" w:rsidRPr="00F126A7" w:rsidRDefault="003C5947" w:rsidP="004737DB">
      <w:pPr>
        <w:pStyle w:val="NoSpacing"/>
      </w:pPr>
      <w:r w:rsidRPr="00F126A7">
        <w:t>Uranowitz added,</w:t>
      </w:r>
      <w:r w:rsidR="00E5795A" w:rsidRPr="00F126A7">
        <w:t xml:space="preserve"> </w:t>
      </w:r>
      <w:r w:rsidR="00F27B01" w:rsidRPr="00F126A7">
        <w:t>“</w:t>
      </w:r>
      <w:r w:rsidR="00AB434D" w:rsidRPr="00F126A7">
        <w:t>The psychological effect of</w:t>
      </w:r>
      <w:r w:rsidR="00F27B01" w:rsidRPr="00F126A7">
        <w:t xml:space="preserve"> </w:t>
      </w:r>
      <w:r w:rsidR="00DE4B3C">
        <w:t xml:space="preserve">getting vaccinated, </w:t>
      </w:r>
      <w:r w:rsidR="00AB434D" w:rsidRPr="00F126A7">
        <w:t xml:space="preserve">returning </w:t>
      </w:r>
      <w:r w:rsidR="00F27B01" w:rsidRPr="00F126A7">
        <w:t xml:space="preserve">to </w:t>
      </w:r>
      <w:r w:rsidR="001E1873" w:rsidRPr="00F126A7">
        <w:t xml:space="preserve">the office, </w:t>
      </w:r>
      <w:r w:rsidR="00DE4B3C">
        <w:t xml:space="preserve">dining in </w:t>
      </w:r>
      <w:r w:rsidR="001E1873" w:rsidRPr="00F126A7">
        <w:t xml:space="preserve">restaurants and </w:t>
      </w:r>
      <w:r w:rsidR="00AB434D" w:rsidRPr="00F126A7">
        <w:t>a more normal way of life in general is boosting the desire to get back to doing business</w:t>
      </w:r>
      <w:r w:rsidR="00DE4B3C">
        <w:t xml:space="preserve"> as usua</w:t>
      </w:r>
      <w:r w:rsidR="0015027A">
        <w:t>l – a</w:t>
      </w:r>
      <w:r w:rsidR="00DE4B3C">
        <w:t xml:space="preserve">lbeit, </w:t>
      </w:r>
      <w:r w:rsidR="00F126A7">
        <w:t xml:space="preserve">at </w:t>
      </w:r>
      <w:r w:rsidR="00AB434D" w:rsidRPr="00F126A7">
        <w:t xml:space="preserve">a much more accelerative pace </w:t>
      </w:r>
      <w:r w:rsidR="004B35BE" w:rsidRPr="00F126A7">
        <w:t xml:space="preserve">for no other reason than to catch up from </w:t>
      </w:r>
      <w:r w:rsidR="00AB434D" w:rsidRPr="00F126A7">
        <w:t xml:space="preserve">last year’s </w:t>
      </w:r>
      <w:r w:rsidR="004B35BE" w:rsidRPr="00F126A7">
        <w:t xml:space="preserve">economic and physical </w:t>
      </w:r>
      <w:r w:rsidR="00AB434D" w:rsidRPr="00F126A7">
        <w:t>shutdown</w:t>
      </w:r>
      <w:r w:rsidR="004B35BE" w:rsidRPr="00F126A7">
        <w:t>.</w:t>
      </w:r>
      <w:r w:rsidR="00F126A7">
        <w:t>”</w:t>
      </w:r>
    </w:p>
    <w:p w14:paraId="51DB9EE1" w14:textId="716AF34E" w:rsidR="007842F2" w:rsidRDefault="007842F2" w:rsidP="004737DB">
      <w:pPr>
        <w:pStyle w:val="NoSpacing"/>
      </w:pPr>
    </w:p>
    <w:p w14:paraId="6957A062" w14:textId="77777777" w:rsidR="007842F2" w:rsidRPr="00335C5B" w:rsidRDefault="007842F2" w:rsidP="007842F2">
      <w:pPr>
        <w:pStyle w:val="NoSpacing"/>
        <w:rPr>
          <w:rStyle w:val="eop"/>
          <w:color w:val="000000" w:themeColor="text1"/>
        </w:rPr>
      </w:pPr>
      <w:r w:rsidRPr="00335C5B">
        <w:rPr>
          <w:rStyle w:val="normaltextrun"/>
          <w:color w:val="000000" w:themeColor="text1"/>
        </w:rPr>
        <w:t>For 4</w:t>
      </w:r>
      <w:r>
        <w:rPr>
          <w:rStyle w:val="normaltextrun"/>
          <w:color w:val="000000" w:themeColor="text1"/>
        </w:rPr>
        <w:t>6</w:t>
      </w:r>
      <w:r w:rsidRPr="00335C5B">
        <w:rPr>
          <w:rStyle w:val="normaltextrun"/>
          <w:color w:val="000000" w:themeColor="text1"/>
        </w:rPr>
        <w:t xml:space="preserve">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a 1</w:t>
      </w:r>
      <w:r>
        <w:rPr>
          <w:rStyle w:val="normaltextrun"/>
          <w:color w:val="000000" w:themeColor="text1"/>
        </w:rPr>
        <w:t>7</w:t>
      </w:r>
      <w:r w:rsidRPr="00335C5B">
        <w:rPr>
          <w:rStyle w:val="normaltextrun"/>
          <w:color w:val="000000" w:themeColor="text1"/>
        </w:rPr>
        <w:t>-time CoStar Power Broker and is credited with arranging the largest portfolio sale in 20</w:t>
      </w:r>
      <w:r>
        <w:rPr>
          <w:rStyle w:val="normaltextrun"/>
          <w:color w:val="000000" w:themeColor="text1"/>
        </w:rPr>
        <w:t xml:space="preserve">20 with the highest per-unit price </w:t>
      </w:r>
      <w:r w:rsidRPr="00335C5B">
        <w:rPr>
          <w:rStyle w:val="normaltextrun"/>
          <w:color w:val="000000" w:themeColor="text1"/>
        </w:rPr>
        <w:t>for the MidAtlantic Region and in New Jersey.</w:t>
      </w:r>
      <w:r w:rsidRPr="00335C5B">
        <w:rPr>
          <w:rStyle w:val="eop"/>
          <w:color w:val="000000" w:themeColor="text1"/>
        </w:rPr>
        <w:t>  </w:t>
      </w:r>
    </w:p>
    <w:p w14:paraId="61B0B5CD" w14:textId="77777777" w:rsidR="007842F2" w:rsidRPr="00335C5B" w:rsidRDefault="007842F2" w:rsidP="007842F2">
      <w:pPr>
        <w:pStyle w:val="NoSpacing"/>
        <w:rPr>
          <w:color w:val="000000" w:themeColor="text1"/>
        </w:rPr>
      </w:pPr>
    </w:p>
    <w:p w14:paraId="533B7062" w14:textId="77777777" w:rsidR="007842F2" w:rsidRPr="00335C5B" w:rsidRDefault="007842F2" w:rsidP="007842F2">
      <w:pPr>
        <w:pStyle w:val="paragraph"/>
        <w:spacing w:before="0" w:beforeAutospacing="0" w:after="0" w:afterAutospacing="0"/>
        <w:jc w:val="center"/>
        <w:textAlignment w:val="baseline"/>
        <w:rPr>
          <w:rFonts w:ascii="Arial" w:hAnsi="Arial" w:cs="Arial"/>
          <w:color w:val="000000" w:themeColor="text1"/>
        </w:rPr>
      </w:pPr>
      <w:r w:rsidRPr="00335C5B">
        <w:rPr>
          <w:rStyle w:val="normaltextrun"/>
          <w:rFonts w:ascii="Arial" w:hAnsi="Arial" w:cs="Arial"/>
          <w:color w:val="000000" w:themeColor="text1"/>
        </w:rPr>
        <w:t>###</w:t>
      </w:r>
    </w:p>
    <w:p w14:paraId="55A47F8A" w14:textId="77777777" w:rsidR="007842F2" w:rsidRPr="004737DB" w:rsidRDefault="007842F2" w:rsidP="004737DB">
      <w:pPr>
        <w:pStyle w:val="NoSpacing"/>
      </w:pPr>
    </w:p>
    <w:sectPr w:rsidR="007842F2" w:rsidRPr="0047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66A9C"/>
    <w:multiLevelType w:val="hybridMultilevel"/>
    <w:tmpl w:val="629C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F"/>
    <w:rsid w:val="000379E2"/>
    <w:rsid w:val="00060EE2"/>
    <w:rsid w:val="0009045A"/>
    <w:rsid w:val="000E27D3"/>
    <w:rsid w:val="000F5D63"/>
    <w:rsid w:val="000F60DA"/>
    <w:rsid w:val="00114ABE"/>
    <w:rsid w:val="001174A0"/>
    <w:rsid w:val="0015027A"/>
    <w:rsid w:val="00163ED6"/>
    <w:rsid w:val="001769B2"/>
    <w:rsid w:val="001E1873"/>
    <w:rsid w:val="00243DB0"/>
    <w:rsid w:val="00247CAE"/>
    <w:rsid w:val="002776C2"/>
    <w:rsid w:val="00281172"/>
    <w:rsid w:val="00283E44"/>
    <w:rsid w:val="002A3B26"/>
    <w:rsid w:val="00336350"/>
    <w:rsid w:val="00382182"/>
    <w:rsid w:val="003C194F"/>
    <w:rsid w:val="003C3D49"/>
    <w:rsid w:val="003C5947"/>
    <w:rsid w:val="004027AD"/>
    <w:rsid w:val="004737DB"/>
    <w:rsid w:val="004868A9"/>
    <w:rsid w:val="004A4D22"/>
    <w:rsid w:val="004B35BE"/>
    <w:rsid w:val="00531586"/>
    <w:rsid w:val="00556538"/>
    <w:rsid w:val="00577D83"/>
    <w:rsid w:val="005B31B4"/>
    <w:rsid w:val="005C57C6"/>
    <w:rsid w:val="00671F8D"/>
    <w:rsid w:val="006D1C63"/>
    <w:rsid w:val="00783309"/>
    <w:rsid w:val="007842F2"/>
    <w:rsid w:val="008120B4"/>
    <w:rsid w:val="00846F03"/>
    <w:rsid w:val="00876598"/>
    <w:rsid w:val="00881CEA"/>
    <w:rsid w:val="008A034D"/>
    <w:rsid w:val="00976D16"/>
    <w:rsid w:val="0099239C"/>
    <w:rsid w:val="009A05FD"/>
    <w:rsid w:val="009A7F30"/>
    <w:rsid w:val="00A15EBA"/>
    <w:rsid w:val="00A73667"/>
    <w:rsid w:val="00A75A13"/>
    <w:rsid w:val="00A95DDA"/>
    <w:rsid w:val="00AA1ED9"/>
    <w:rsid w:val="00AB434D"/>
    <w:rsid w:val="00AD70F2"/>
    <w:rsid w:val="00AF45AF"/>
    <w:rsid w:val="00B13464"/>
    <w:rsid w:val="00B86010"/>
    <w:rsid w:val="00B90655"/>
    <w:rsid w:val="00B95F67"/>
    <w:rsid w:val="00BC30A2"/>
    <w:rsid w:val="00C758B4"/>
    <w:rsid w:val="00C868F9"/>
    <w:rsid w:val="00C93618"/>
    <w:rsid w:val="00CC3ECC"/>
    <w:rsid w:val="00CD078E"/>
    <w:rsid w:val="00CD2F95"/>
    <w:rsid w:val="00D0736F"/>
    <w:rsid w:val="00D11336"/>
    <w:rsid w:val="00D2267D"/>
    <w:rsid w:val="00D954EB"/>
    <w:rsid w:val="00DC14E7"/>
    <w:rsid w:val="00DC2F13"/>
    <w:rsid w:val="00DE4B3C"/>
    <w:rsid w:val="00E00B6D"/>
    <w:rsid w:val="00E570A2"/>
    <w:rsid w:val="00E5795A"/>
    <w:rsid w:val="00E9326C"/>
    <w:rsid w:val="00EF7FB9"/>
    <w:rsid w:val="00F126A7"/>
    <w:rsid w:val="00F27B01"/>
    <w:rsid w:val="00F8217E"/>
    <w:rsid w:val="00FB390F"/>
    <w:rsid w:val="00FF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1667"/>
  <w15:chartTrackingRefBased/>
  <w15:docId w15:val="{E774A0C5-750E-44BF-8AC6-60E6BDFA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C63"/>
    <w:pPr>
      <w:spacing w:after="0" w:line="240" w:lineRule="auto"/>
    </w:pPr>
  </w:style>
  <w:style w:type="paragraph" w:customStyle="1" w:styleId="paragraph">
    <w:name w:val="paragraph"/>
    <w:basedOn w:val="Normal"/>
    <w:rsid w:val="007842F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842F2"/>
  </w:style>
  <w:style w:type="character" w:customStyle="1" w:styleId="eop">
    <w:name w:val="eop"/>
    <w:basedOn w:val="DefaultParagraphFont"/>
    <w:rsid w:val="007842F2"/>
  </w:style>
  <w:style w:type="character" w:styleId="CommentReference">
    <w:name w:val="annotation reference"/>
    <w:basedOn w:val="DefaultParagraphFont"/>
    <w:uiPriority w:val="99"/>
    <w:semiHidden/>
    <w:unhideWhenUsed/>
    <w:rsid w:val="00F8217E"/>
    <w:rPr>
      <w:sz w:val="16"/>
      <w:szCs w:val="16"/>
    </w:rPr>
  </w:style>
  <w:style w:type="paragraph" w:styleId="CommentText">
    <w:name w:val="annotation text"/>
    <w:basedOn w:val="Normal"/>
    <w:link w:val="CommentTextChar"/>
    <w:uiPriority w:val="99"/>
    <w:unhideWhenUsed/>
    <w:rsid w:val="00F8217E"/>
    <w:pPr>
      <w:spacing w:line="240" w:lineRule="auto"/>
    </w:pPr>
    <w:rPr>
      <w:sz w:val="20"/>
      <w:szCs w:val="20"/>
    </w:rPr>
  </w:style>
  <w:style w:type="character" w:customStyle="1" w:styleId="CommentTextChar">
    <w:name w:val="Comment Text Char"/>
    <w:basedOn w:val="DefaultParagraphFont"/>
    <w:link w:val="CommentText"/>
    <w:uiPriority w:val="99"/>
    <w:rsid w:val="00F8217E"/>
    <w:rPr>
      <w:sz w:val="20"/>
      <w:szCs w:val="20"/>
    </w:rPr>
  </w:style>
  <w:style w:type="paragraph" w:styleId="CommentSubject">
    <w:name w:val="annotation subject"/>
    <w:basedOn w:val="CommentText"/>
    <w:next w:val="CommentText"/>
    <w:link w:val="CommentSubjectChar"/>
    <w:uiPriority w:val="99"/>
    <w:semiHidden/>
    <w:unhideWhenUsed/>
    <w:rsid w:val="00F8217E"/>
    <w:rPr>
      <w:b/>
      <w:bCs/>
    </w:rPr>
  </w:style>
  <w:style w:type="character" w:customStyle="1" w:styleId="CommentSubjectChar">
    <w:name w:val="Comment Subject Char"/>
    <w:basedOn w:val="CommentTextChar"/>
    <w:link w:val="CommentSubject"/>
    <w:uiPriority w:val="99"/>
    <w:semiHidden/>
    <w:rsid w:val="00F8217E"/>
    <w:rPr>
      <w:b/>
      <w:bCs/>
      <w:sz w:val="20"/>
      <w:szCs w:val="20"/>
    </w:rPr>
  </w:style>
  <w:style w:type="character" w:styleId="Hyperlink">
    <w:name w:val="Hyperlink"/>
    <w:basedOn w:val="DefaultParagraphFont"/>
    <w:uiPriority w:val="99"/>
    <w:unhideWhenUsed/>
    <w:rsid w:val="00382182"/>
    <w:rPr>
      <w:color w:val="0563C1" w:themeColor="hyperlink"/>
      <w:u w:val="single"/>
    </w:rPr>
  </w:style>
  <w:style w:type="character" w:styleId="UnresolvedMention">
    <w:name w:val="Unresolved Mention"/>
    <w:basedOn w:val="DefaultParagraphFont"/>
    <w:uiPriority w:val="99"/>
    <w:semiHidden/>
    <w:unhideWhenUsed/>
    <w:rsid w:val="00382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broeham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7</cp:revision>
  <dcterms:created xsi:type="dcterms:W3CDTF">2021-07-27T12:24:00Z</dcterms:created>
  <dcterms:modified xsi:type="dcterms:W3CDTF">2021-07-28T12:57:00Z</dcterms:modified>
</cp:coreProperties>
</file>