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A65" w14:textId="563990D8" w:rsidR="005E1429" w:rsidRPr="00A271A8" w:rsidRDefault="00A86BCE" w:rsidP="005E1429">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237EA4DE" w14:textId="77777777" w:rsidR="005E1429" w:rsidRPr="00CD604B" w:rsidRDefault="005E1429" w:rsidP="005E1429">
      <w:pPr>
        <w:pStyle w:val="NoSpacing"/>
        <w:rPr>
          <w:rFonts w:cs="Arial"/>
          <w:szCs w:val="24"/>
        </w:rPr>
      </w:pPr>
      <w:r w:rsidRPr="00CD604B">
        <w:rPr>
          <w:rFonts w:cs="Arial"/>
          <w:szCs w:val="24"/>
        </w:rPr>
        <w:t>Gebroe-Hammer Associates</w:t>
      </w:r>
    </w:p>
    <w:p w14:paraId="4C8799C3" w14:textId="77777777" w:rsidR="005E1429" w:rsidRPr="00CD604B" w:rsidRDefault="005E1429" w:rsidP="005E1429">
      <w:pPr>
        <w:pStyle w:val="NoSpacing"/>
        <w:rPr>
          <w:rFonts w:cs="Arial"/>
          <w:bCs/>
          <w:szCs w:val="24"/>
        </w:rPr>
      </w:pPr>
      <w:r w:rsidRPr="00CD604B">
        <w:rPr>
          <w:rFonts w:cs="Arial"/>
          <w:bCs/>
          <w:szCs w:val="24"/>
        </w:rPr>
        <w:t>2 West Northfield Road</w:t>
      </w:r>
    </w:p>
    <w:p w14:paraId="0922A1C3" w14:textId="77777777" w:rsidR="005E1429" w:rsidRPr="00CD604B" w:rsidRDefault="005E1429" w:rsidP="005E1429">
      <w:pPr>
        <w:pStyle w:val="NoSpacing"/>
        <w:rPr>
          <w:rFonts w:cs="Arial"/>
          <w:szCs w:val="24"/>
        </w:rPr>
      </w:pPr>
      <w:r w:rsidRPr="00CD604B">
        <w:rPr>
          <w:rFonts w:cs="Arial"/>
          <w:bCs/>
          <w:szCs w:val="24"/>
        </w:rPr>
        <w:t>Livingston, NJ 07039</w:t>
      </w:r>
    </w:p>
    <w:p w14:paraId="10A47A1A" w14:textId="77777777" w:rsidR="005E1429" w:rsidRPr="00CD604B" w:rsidRDefault="005E1429" w:rsidP="005E1429">
      <w:pPr>
        <w:pStyle w:val="NoSpacing"/>
        <w:rPr>
          <w:rFonts w:cs="Arial"/>
          <w:szCs w:val="24"/>
        </w:rPr>
      </w:pPr>
    </w:p>
    <w:p w14:paraId="10ECFD22" w14:textId="77777777" w:rsidR="005E1429" w:rsidRPr="00CD604B" w:rsidRDefault="005E1429" w:rsidP="005E1429">
      <w:pPr>
        <w:pStyle w:val="NoSpacing"/>
        <w:rPr>
          <w:rFonts w:cs="Arial"/>
          <w:szCs w:val="24"/>
        </w:rPr>
      </w:pPr>
      <w:r w:rsidRPr="00CD604B">
        <w:rPr>
          <w:rFonts w:cs="Arial"/>
          <w:szCs w:val="24"/>
        </w:rPr>
        <w:t xml:space="preserve">Contact: </w:t>
      </w:r>
      <w:r w:rsidRPr="00CD604B">
        <w:rPr>
          <w:rFonts w:cs="Arial"/>
          <w:szCs w:val="24"/>
        </w:rPr>
        <w:tab/>
        <w:t xml:space="preserve">Carin McDonald / </w:t>
      </w:r>
      <w:hyperlink r:id="rId5" w:history="1">
        <w:r w:rsidRPr="00CD604B">
          <w:rPr>
            <w:rStyle w:val="Hyperlink"/>
            <w:rFonts w:cs="Arial"/>
            <w:szCs w:val="24"/>
          </w:rPr>
          <w:t>carin@cmmstrategic.com</w:t>
        </w:r>
      </w:hyperlink>
      <w:r w:rsidRPr="00CD604B">
        <w:rPr>
          <w:rFonts w:cs="Arial"/>
          <w:szCs w:val="24"/>
        </w:rPr>
        <w:t xml:space="preserve"> / 973.513.9</w:t>
      </w:r>
      <w:r>
        <w:rPr>
          <w:rFonts w:cs="Arial"/>
          <w:szCs w:val="24"/>
        </w:rPr>
        <w:t>5</w:t>
      </w:r>
      <w:r w:rsidRPr="00CD604B">
        <w:rPr>
          <w:rFonts w:cs="Arial"/>
          <w:szCs w:val="24"/>
        </w:rPr>
        <w:t>80</w:t>
      </w:r>
    </w:p>
    <w:p w14:paraId="6EB7B1FA" w14:textId="77777777" w:rsidR="005E1429" w:rsidRPr="00CD604B" w:rsidRDefault="005E1429" w:rsidP="005E1429">
      <w:pPr>
        <w:pStyle w:val="NoSpacing"/>
        <w:rPr>
          <w:rFonts w:cs="Arial"/>
          <w:szCs w:val="24"/>
        </w:rPr>
      </w:pPr>
      <w:r w:rsidRPr="00CD604B">
        <w:rPr>
          <w:rFonts w:cs="Arial"/>
          <w:szCs w:val="24"/>
        </w:rPr>
        <w:tab/>
      </w:r>
      <w:r>
        <w:rPr>
          <w:rFonts w:cs="Arial"/>
          <w:szCs w:val="24"/>
        </w:rPr>
        <w:tab/>
      </w:r>
      <w:r w:rsidRPr="00CD604B">
        <w:rPr>
          <w:rFonts w:cs="Arial"/>
          <w:szCs w:val="24"/>
        </w:rPr>
        <w:t xml:space="preserve">Follow us on </w:t>
      </w:r>
      <w:hyperlink r:id="rId6" w:history="1">
        <w:r w:rsidRPr="00CD604B">
          <w:rPr>
            <w:rStyle w:val="Hyperlink"/>
            <w:rFonts w:cs="Arial"/>
            <w:szCs w:val="24"/>
          </w:rPr>
          <w:t>Twitter</w:t>
        </w:r>
      </w:hyperlink>
      <w:r w:rsidRPr="00CD604B">
        <w:rPr>
          <w:rFonts w:cs="Arial"/>
          <w:szCs w:val="24"/>
        </w:rPr>
        <w:t xml:space="preserve"> / </w:t>
      </w:r>
      <w:hyperlink r:id="rId7" w:history="1">
        <w:r w:rsidRPr="00CD604B">
          <w:rPr>
            <w:rStyle w:val="Hyperlink"/>
            <w:rFonts w:cs="Arial"/>
            <w:szCs w:val="24"/>
          </w:rPr>
          <w:t>LinkedIn</w:t>
        </w:r>
      </w:hyperlink>
      <w:r w:rsidRPr="00CD604B">
        <w:rPr>
          <w:rFonts w:cs="Arial"/>
          <w:szCs w:val="24"/>
        </w:rPr>
        <w:t xml:space="preserve"> / </w:t>
      </w:r>
      <w:hyperlink r:id="rId8" w:history="1">
        <w:r w:rsidRPr="00CD604B">
          <w:rPr>
            <w:rStyle w:val="Hyperlink"/>
            <w:rFonts w:cs="Arial"/>
            <w:szCs w:val="24"/>
          </w:rPr>
          <w:t>Facebook</w:t>
        </w:r>
      </w:hyperlink>
    </w:p>
    <w:p w14:paraId="56B043C1" w14:textId="77777777" w:rsidR="005E1429" w:rsidRDefault="005E1429" w:rsidP="00145A1E">
      <w:pPr>
        <w:pStyle w:val="NoSpacing"/>
        <w:rPr>
          <w:b/>
          <w:bCs/>
        </w:rPr>
      </w:pPr>
    </w:p>
    <w:p w14:paraId="2D3C35C8" w14:textId="7C6CD45E" w:rsidR="00FB0BA2" w:rsidRDefault="00FB0BA2" w:rsidP="00145A1E">
      <w:pPr>
        <w:pStyle w:val="NoSpacing"/>
        <w:rPr>
          <w:b/>
          <w:bCs/>
        </w:rPr>
      </w:pPr>
      <w:r w:rsidRPr="00FB0BA2">
        <w:rPr>
          <w:b/>
          <w:bCs/>
        </w:rPr>
        <w:t>Gebroe-Hammer Associates</w:t>
      </w:r>
      <w:r>
        <w:rPr>
          <w:b/>
          <w:bCs/>
        </w:rPr>
        <w:t xml:space="preserve"> Finalizes </w:t>
      </w:r>
      <w:r w:rsidR="005E1429">
        <w:rPr>
          <w:b/>
          <w:bCs/>
        </w:rPr>
        <w:t>$269+M in NJ Multifamily Investment Sales</w:t>
      </w:r>
      <w:r>
        <w:rPr>
          <w:b/>
          <w:bCs/>
        </w:rPr>
        <w:t xml:space="preserve"> </w:t>
      </w:r>
      <w:r w:rsidR="005E1429">
        <w:rPr>
          <w:b/>
          <w:bCs/>
        </w:rPr>
        <w:t>over Two Months</w:t>
      </w:r>
    </w:p>
    <w:p w14:paraId="00705554" w14:textId="42E63A24" w:rsidR="005E1429" w:rsidRPr="005E1429" w:rsidRDefault="005E1429" w:rsidP="00145A1E">
      <w:pPr>
        <w:pStyle w:val="NoSpacing"/>
        <w:rPr>
          <w:i/>
          <w:iCs/>
        </w:rPr>
      </w:pPr>
      <w:r w:rsidRPr="005E1429">
        <w:rPr>
          <w:i/>
          <w:iCs/>
        </w:rPr>
        <w:t>21 Deals/1,598 Units Span Northern, Central and Southern New Jersey Metros</w:t>
      </w:r>
    </w:p>
    <w:p w14:paraId="6840F914" w14:textId="77777777" w:rsidR="000A768A" w:rsidRDefault="000A768A" w:rsidP="00145A1E">
      <w:pPr>
        <w:pStyle w:val="NoSpacing"/>
        <w:rPr>
          <w:b/>
          <w:bCs/>
        </w:rPr>
      </w:pPr>
    </w:p>
    <w:p w14:paraId="5F5492C6" w14:textId="6223BE41" w:rsidR="00296A57" w:rsidRDefault="00296A57" w:rsidP="00145A1E">
      <w:pPr>
        <w:pStyle w:val="NoSpacing"/>
      </w:pPr>
      <w:r w:rsidRPr="00296A57">
        <w:rPr>
          <w:b/>
          <w:bCs/>
        </w:rPr>
        <w:t xml:space="preserve">Livingston, N.J., May </w:t>
      </w:r>
      <w:r w:rsidR="00A86BCE">
        <w:rPr>
          <w:b/>
          <w:bCs/>
        </w:rPr>
        <w:t>24</w:t>
      </w:r>
      <w:r w:rsidRPr="00296A57">
        <w:rPr>
          <w:b/>
          <w:bCs/>
        </w:rPr>
        <w:t>, 2021</w:t>
      </w:r>
      <w:r>
        <w:t xml:space="preserve"> –</w:t>
      </w:r>
      <w:r w:rsidR="00417F0A">
        <w:t xml:space="preserve"> O</w:t>
      </w:r>
      <w:r>
        <w:t>verall multifamily-investment trading velocity is</w:t>
      </w:r>
      <w:r w:rsidR="003F640B">
        <w:t xml:space="preserve"> </w:t>
      </w:r>
      <w:r w:rsidR="000A768A">
        <w:t>surging</w:t>
      </w:r>
      <w:r w:rsidR="00417F0A">
        <w:t xml:space="preserve"> throughout</w:t>
      </w:r>
      <w:r w:rsidR="005E1429">
        <w:t xml:space="preserve"> the entire state of</w:t>
      </w:r>
      <w:r w:rsidR="00417F0A">
        <w:t xml:space="preserve"> New Jersey</w:t>
      </w:r>
      <w:r>
        <w:t xml:space="preserve">, where </w:t>
      </w:r>
      <w:hyperlink r:id="rId9" w:history="1">
        <w:r w:rsidRPr="009A7558">
          <w:rPr>
            <w:rStyle w:val="Hyperlink"/>
          </w:rPr>
          <w:t>Gebroe-Hammer Associates</w:t>
        </w:r>
      </w:hyperlink>
      <w:r>
        <w:t xml:space="preserve"> has finalized </w:t>
      </w:r>
      <w:r w:rsidR="00E71E3D">
        <w:t xml:space="preserve">21 </w:t>
      </w:r>
      <w:r w:rsidR="00CF7AFB">
        <w:t>deals</w:t>
      </w:r>
      <w:r>
        <w:t xml:space="preserve"> involving </w:t>
      </w:r>
      <w:r w:rsidR="00E71E3D">
        <w:t xml:space="preserve">1,598 units </w:t>
      </w:r>
      <w:r>
        <w:t xml:space="preserve">during the latest two-month time period. In total, the </w:t>
      </w:r>
      <w:r w:rsidR="00E71E3D">
        <w:t>$269+</w:t>
      </w:r>
      <w:r w:rsidR="00417F0A">
        <w:t>M</w:t>
      </w:r>
      <w:r>
        <w:t xml:space="preserve"> in</w:t>
      </w:r>
      <w:r w:rsidR="002011A0">
        <w:t xml:space="preserve"> </w:t>
      </w:r>
      <w:r>
        <w:t>sales spanned 11 New Jersey counties, from Sussex to Burlington counties.</w:t>
      </w:r>
    </w:p>
    <w:p w14:paraId="7A66ED03" w14:textId="599F7CEE" w:rsidR="00296A57" w:rsidRDefault="00296A57" w:rsidP="00145A1E">
      <w:pPr>
        <w:pStyle w:val="NoSpacing"/>
      </w:pPr>
    </w:p>
    <w:p w14:paraId="32B46D9C" w14:textId="30F9360A" w:rsidR="000A768A" w:rsidRDefault="00296A57" w:rsidP="00145A1E">
      <w:pPr>
        <w:pStyle w:val="NoSpacing"/>
      </w:pPr>
      <w:r>
        <w:t>“</w:t>
      </w:r>
      <w:r w:rsidR="00417F0A">
        <w:t>This</w:t>
      </w:r>
      <w:r w:rsidR="00EC49D6">
        <w:t xml:space="preserve"> phenomenon</w:t>
      </w:r>
      <w:r w:rsidR="00417F0A">
        <w:t xml:space="preserve"> is powered by </w:t>
      </w:r>
      <w:r w:rsidR="00EC49D6">
        <w:t>restored confidence among</w:t>
      </w:r>
      <w:r>
        <w:t xml:space="preserve"> renter</w:t>
      </w:r>
      <w:r w:rsidR="00EC49D6">
        <w:t>s</w:t>
      </w:r>
      <w:r>
        <w:t>, apartment-</w:t>
      </w:r>
      <w:r w:rsidR="00EC49D6">
        <w:t>property</w:t>
      </w:r>
      <w:r>
        <w:t xml:space="preserve"> owner</w:t>
      </w:r>
      <w:r w:rsidR="00EC49D6">
        <w:t>s</w:t>
      </w:r>
      <w:r>
        <w:t xml:space="preserve"> and investor</w:t>
      </w:r>
      <w:r w:rsidR="00EC49D6">
        <w:t>s</w:t>
      </w:r>
      <w:r w:rsidR="00417F0A">
        <w:t xml:space="preserve"> and the fact that multifamily investments proved their </w:t>
      </w:r>
      <w:r w:rsidR="000A768A">
        <w:t xml:space="preserve">resilience </w:t>
      </w:r>
      <w:r w:rsidR="005E1429">
        <w:t xml:space="preserve">with limited exposure </w:t>
      </w:r>
      <w:r w:rsidR="00417F0A">
        <w:t>in the COVID economy</w:t>
      </w:r>
      <w:r w:rsidR="00EC49D6">
        <w:t>,” said Ken Uranowitz, the firm’s president. “</w:t>
      </w:r>
      <w:r w:rsidR="00417F0A">
        <w:t>Wi</w:t>
      </w:r>
      <w:r w:rsidR="002011A0">
        <w:t xml:space="preserve">despread </w:t>
      </w:r>
      <w:r>
        <w:t>vaccin</w:t>
      </w:r>
      <w:r w:rsidR="00417F0A">
        <w:t>ation</w:t>
      </w:r>
      <w:r>
        <w:t xml:space="preserve"> initiatives, </w:t>
      </w:r>
      <w:r w:rsidR="002011A0">
        <w:t xml:space="preserve">the </w:t>
      </w:r>
      <w:r>
        <w:t xml:space="preserve">relaxing of COVID-related guidelines and </w:t>
      </w:r>
      <w:r w:rsidR="00EC49D6">
        <w:t>an improved employment outlook</w:t>
      </w:r>
      <w:r w:rsidR="00417F0A">
        <w:t xml:space="preserve"> </w:t>
      </w:r>
      <w:r w:rsidR="00567B67">
        <w:t>have yielded greater clarity for multifamily invest</w:t>
      </w:r>
      <w:r w:rsidR="005E1429">
        <w:t>ors</w:t>
      </w:r>
      <w:r w:rsidR="00567B67">
        <w:t xml:space="preserve"> and the economic recovery as a whole.</w:t>
      </w:r>
      <w:r w:rsidR="00EC49D6">
        <w:t>”</w:t>
      </w:r>
    </w:p>
    <w:p w14:paraId="3C078C8F" w14:textId="77777777" w:rsidR="000A768A" w:rsidRDefault="000A768A" w:rsidP="00145A1E">
      <w:pPr>
        <w:pStyle w:val="NoSpacing"/>
      </w:pPr>
    </w:p>
    <w:p w14:paraId="25C18C55" w14:textId="39FF58EB" w:rsidR="000A768A" w:rsidRDefault="00EC49D6" w:rsidP="00567B67">
      <w:pPr>
        <w:pStyle w:val="NoSpacing"/>
      </w:pPr>
      <w:r>
        <w:t xml:space="preserve">Because </w:t>
      </w:r>
      <w:r w:rsidR="002011A0">
        <w:t>New Jersey’s economy is extremely diverse,</w:t>
      </w:r>
      <w:r>
        <w:t xml:space="preserve"> </w:t>
      </w:r>
      <w:r w:rsidR="00567B67">
        <w:t>the state</w:t>
      </w:r>
      <w:r w:rsidR="002011A0">
        <w:t xml:space="preserve"> has fared </w:t>
      </w:r>
      <w:r w:rsidR="00567B67">
        <w:t>much</w:t>
      </w:r>
      <w:r w:rsidR="002011A0">
        <w:t xml:space="preserve"> better tha</w:t>
      </w:r>
      <w:r>
        <w:t xml:space="preserve">n </w:t>
      </w:r>
      <w:r w:rsidR="002011A0">
        <w:t>other metros</w:t>
      </w:r>
      <w:r>
        <w:t xml:space="preserve"> nationwide.</w:t>
      </w:r>
      <w:r w:rsidR="00567B67">
        <w:t xml:space="preserve"> </w:t>
      </w:r>
      <w:r w:rsidR="00D1246C">
        <w:t>“</w:t>
      </w:r>
      <w:r w:rsidR="00567B67">
        <w:t>With solid fundamentals and population demographics,</w:t>
      </w:r>
      <w:r w:rsidR="003F640B">
        <w:t xml:space="preserve"> projections indicate these </w:t>
      </w:r>
      <w:r w:rsidR="000A768A">
        <w:t xml:space="preserve">multifamily </w:t>
      </w:r>
      <w:r w:rsidR="003F640B">
        <w:t>assets have the capability to</w:t>
      </w:r>
      <w:r w:rsidR="00D1246C">
        <w:t xml:space="preserve"> reach the highs of 2019 within the next 12 to 18 months</w:t>
      </w:r>
      <w:r w:rsidR="000A768A">
        <w:t>,</w:t>
      </w:r>
      <w:r w:rsidR="00D1246C">
        <w:t>”</w:t>
      </w:r>
      <w:r w:rsidR="000A768A">
        <w:t xml:space="preserve"> said Uranowitz.</w:t>
      </w:r>
    </w:p>
    <w:p w14:paraId="5CBC819F" w14:textId="77777777" w:rsidR="000A768A" w:rsidRDefault="000A768A" w:rsidP="00567B67">
      <w:pPr>
        <w:pStyle w:val="NoSpacing"/>
      </w:pPr>
    </w:p>
    <w:p w14:paraId="15BFC8D8" w14:textId="28742163" w:rsidR="00C96A75" w:rsidRDefault="00D1246C" w:rsidP="00567B67">
      <w:pPr>
        <w:pStyle w:val="NoSpacing"/>
      </w:pPr>
      <w:r>
        <w:t>Overall, New Jersey’s apartment</w:t>
      </w:r>
      <w:r w:rsidR="005E1429">
        <w:t>-</w:t>
      </w:r>
      <w:r>
        <w:t>housing stock is comprised of more than 479,</w:t>
      </w:r>
      <w:r w:rsidR="000F1B89">
        <w:t>49</w:t>
      </w:r>
      <w:r w:rsidR="009A7558">
        <w:t>0</w:t>
      </w:r>
      <w:r w:rsidR="000F1B89">
        <w:t xml:space="preserve"> </w:t>
      </w:r>
      <w:r>
        <w:t xml:space="preserve">units, according to Reis. This includes </w:t>
      </w:r>
      <w:r w:rsidR="005E1429">
        <w:t xml:space="preserve">a high concentration of mid-to-late 20th Century vintages across </w:t>
      </w:r>
      <w:r>
        <w:t>the Northern New Jersey, Central New Jersey and Southwest New Jersey metros</w:t>
      </w:r>
      <w:r w:rsidR="00C96A75">
        <w:t>.</w:t>
      </w:r>
      <w:r w:rsidR="003F640B">
        <w:t xml:space="preserve"> Gebroe-Hammer’s</w:t>
      </w:r>
      <w:r>
        <w:t xml:space="preserve"> 21</w:t>
      </w:r>
      <w:r w:rsidR="003F640B">
        <w:t xml:space="preserve"> </w:t>
      </w:r>
      <w:r>
        <w:t xml:space="preserve">property sales were </w:t>
      </w:r>
      <w:r w:rsidR="005E1429">
        <w:t>dispersed</w:t>
      </w:r>
      <w:r w:rsidR="00C96A75">
        <w:t xml:space="preserve"> </w:t>
      </w:r>
      <w:r w:rsidR="003F640B">
        <w:t xml:space="preserve">statewide </w:t>
      </w:r>
      <w:r w:rsidR="00C96A75">
        <w:t xml:space="preserve">throughout the </w:t>
      </w:r>
      <w:r w:rsidR="00152ECE">
        <w:t>Plainfield</w:t>
      </w:r>
      <w:r w:rsidR="00FB0BA2">
        <w:t>/Roselle/Elizabeth corridor</w:t>
      </w:r>
      <w:r w:rsidR="00152ECE">
        <w:t>,</w:t>
      </w:r>
      <w:r w:rsidR="00FB0BA2">
        <w:t xml:space="preserve"> </w:t>
      </w:r>
      <w:r w:rsidR="00152ECE">
        <w:t xml:space="preserve">Trenton/Hamilton Township/Ewing corridor, </w:t>
      </w:r>
      <w:r w:rsidR="00FB0BA2">
        <w:t>Jersey Shore</w:t>
      </w:r>
      <w:r w:rsidR="00C96A75">
        <w:t xml:space="preserve"> Region</w:t>
      </w:r>
      <w:r w:rsidR="00594D1F">
        <w:t xml:space="preserve"> and</w:t>
      </w:r>
      <w:r w:rsidR="00FB0BA2">
        <w:t xml:space="preserve"> </w:t>
      </w:r>
      <w:r w:rsidR="00152ECE">
        <w:t>The Oranges</w:t>
      </w:r>
      <w:r w:rsidR="00FB0BA2">
        <w:t>/</w:t>
      </w:r>
      <w:r w:rsidR="00C30588">
        <w:t>West Essex corridor</w:t>
      </w:r>
      <w:r w:rsidR="00C96A75">
        <w:t>. Other municipalities included</w:t>
      </w:r>
      <w:r w:rsidR="00FB0BA2">
        <w:t xml:space="preserve"> Paterson, Passaic and Sparta.</w:t>
      </w:r>
    </w:p>
    <w:p w14:paraId="61838D37" w14:textId="0ECD4F2D" w:rsidR="003D776E" w:rsidRDefault="003D776E" w:rsidP="00567B67">
      <w:pPr>
        <w:pStyle w:val="NoSpacing"/>
      </w:pPr>
    </w:p>
    <w:p w14:paraId="058FC2CA" w14:textId="61BA879E" w:rsidR="00C30588" w:rsidRDefault="003D776E" w:rsidP="00567B67">
      <w:pPr>
        <w:pStyle w:val="NoSpacing"/>
      </w:pPr>
      <w:r>
        <w:t xml:space="preserve">In terms of counties with the highest annual effective rent-growth, Reis reports </w:t>
      </w:r>
      <w:r w:rsidR="00C96A75">
        <w:t>Union, Passaic, Somerset, Ocean and Camden</w:t>
      </w:r>
      <w:r>
        <w:t xml:space="preserve"> </w:t>
      </w:r>
      <w:r w:rsidR="00C96A75">
        <w:t>led the pack</w:t>
      </w:r>
      <w:r>
        <w:t xml:space="preserve"> in 2020. </w:t>
      </w:r>
      <w:r w:rsidR="00C30588">
        <w:t>“</w:t>
      </w:r>
      <w:r>
        <w:t>This level of rent growth has had</w:t>
      </w:r>
      <w:r w:rsidR="00D019B8">
        <w:t xml:space="preserve"> carryover</w:t>
      </w:r>
      <w:r w:rsidR="00C30588">
        <w:t xml:space="preserve"> </w:t>
      </w:r>
      <w:r w:rsidR="009A7558">
        <w:t xml:space="preserve">into 2021 </w:t>
      </w:r>
      <w:r>
        <w:t>and positive influences on surrounding counties as well,</w:t>
      </w:r>
      <w:r w:rsidR="00C30588">
        <w:t>”</w:t>
      </w:r>
      <w:r>
        <w:t xml:space="preserve"> said Uranowitz.</w:t>
      </w:r>
    </w:p>
    <w:p w14:paraId="17BBFEB8" w14:textId="49188DFF" w:rsidR="00C30588" w:rsidRDefault="00C30588" w:rsidP="00567B67">
      <w:pPr>
        <w:pStyle w:val="NoSpacing"/>
      </w:pPr>
    </w:p>
    <w:p w14:paraId="4B5F9CFB" w14:textId="148AA6DA" w:rsidR="00C30588" w:rsidRDefault="00C30588" w:rsidP="00C30588">
      <w:pPr>
        <w:pStyle w:val="NoSpacing"/>
      </w:pPr>
      <w:r>
        <w:t>Deeply entrenched within New Jersey’s urban, suburban and tertiary markets, Gebroe-Hammer’s market specialists report</w:t>
      </w:r>
      <w:r w:rsidR="003E4D14">
        <w:t xml:space="preserve"> a wide range of acquisition </w:t>
      </w:r>
      <w:r w:rsidR="000A768A">
        <w:t xml:space="preserve">prerequisites </w:t>
      </w:r>
      <w:r w:rsidR="003E4D14">
        <w:t xml:space="preserve">among </w:t>
      </w:r>
      <w:r w:rsidR="003E4D14">
        <w:lastRenderedPageBreak/>
        <w:t xml:space="preserve">investors. These include </w:t>
      </w:r>
      <w:r w:rsidR="00AB7ABE">
        <w:t xml:space="preserve">newly constructed </w:t>
      </w:r>
      <w:r>
        <w:t>multifamily properties</w:t>
      </w:r>
      <w:r w:rsidR="003E4D14">
        <w:t xml:space="preserve">, </w:t>
      </w:r>
      <w:r>
        <w:t>value-add assets</w:t>
      </w:r>
      <w:r w:rsidR="003E4D14">
        <w:t xml:space="preserve"> and </w:t>
      </w:r>
      <w:r>
        <w:t xml:space="preserve">workforce housing. </w:t>
      </w:r>
    </w:p>
    <w:p w14:paraId="7E561262" w14:textId="470C3DA0" w:rsidR="00C30588" w:rsidRDefault="00C30588" w:rsidP="00C30588">
      <w:pPr>
        <w:pStyle w:val="NoSpacing"/>
      </w:pPr>
    </w:p>
    <w:p w14:paraId="62B90802" w14:textId="74DEA42E" w:rsidR="000A768A" w:rsidRPr="000A768A" w:rsidRDefault="009A7558" w:rsidP="000A768A">
      <w:pPr>
        <w:spacing w:after="240"/>
        <w:rPr>
          <w:rFonts w:eastAsia="Times New Roman"/>
        </w:rPr>
      </w:pPr>
      <w:r>
        <w:rPr>
          <w:rFonts w:eastAsia="Times New Roman"/>
        </w:rPr>
        <w:t xml:space="preserve">“Inflation, interest rates and taxation uncertainties are accelerating deal flow and </w:t>
      </w:r>
      <w:r w:rsidR="000A768A">
        <w:rPr>
          <w:rFonts w:eastAsia="Times New Roman"/>
        </w:rPr>
        <w:t xml:space="preserve">historic record </w:t>
      </w:r>
      <w:r>
        <w:rPr>
          <w:rFonts w:eastAsia="Times New Roman"/>
        </w:rPr>
        <w:t>demand for any and all multifamily asset classes, the likes of which I haven’t witnessed in over 46 years in the business,“ said Uranowitz.</w:t>
      </w:r>
    </w:p>
    <w:p w14:paraId="70AC4F57" w14:textId="04F26929" w:rsidR="00C30588" w:rsidRPr="005F64FA" w:rsidRDefault="00C30588" w:rsidP="00C30588">
      <w:pPr>
        <w:pStyle w:val="NoSpacing"/>
      </w:pPr>
      <w: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the New York State submarkets as well as represent client interests nationally. Widely recognized for its consistent sales performance, the firm recorded the Largest Multifamily Sale of 2020 with the highest per-unit price in the MidAtlantic Region and is a 17-time CoStar Power Broker.</w:t>
      </w:r>
    </w:p>
    <w:p w14:paraId="545F3D3B" w14:textId="57FE9BC8" w:rsidR="00C30588" w:rsidRDefault="00C30588" w:rsidP="00567B67">
      <w:pPr>
        <w:pStyle w:val="NoSpacing"/>
      </w:pPr>
    </w:p>
    <w:p w14:paraId="5DAB1B93" w14:textId="67D05B0F" w:rsidR="00C30588" w:rsidRDefault="00C30588" w:rsidP="00C30588">
      <w:pPr>
        <w:pStyle w:val="NoSpacing"/>
        <w:jc w:val="center"/>
      </w:pPr>
      <w:r>
        <w:t>###</w:t>
      </w:r>
    </w:p>
    <w:p w14:paraId="3A1A06E6" w14:textId="138786E4" w:rsidR="00C96A75" w:rsidRDefault="00C96A75" w:rsidP="00567B67">
      <w:pPr>
        <w:pStyle w:val="NoSpacing"/>
      </w:pPr>
    </w:p>
    <w:p w14:paraId="747E347F" w14:textId="0937D473" w:rsidR="00594D1F" w:rsidRDefault="00594D1F" w:rsidP="00567B67">
      <w:pPr>
        <w:pStyle w:val="NoSpacing"/>
      </w:pPr>
    </w:p>
    <w:sectPr w:rsidR="0059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367D"/>
    <w:multiLevelType w:val="hybridMultilevel"/>
    <w:tmpl w:val="2E04D3D8"/>
    <w:lvl w:ilvl="0" w:tplc="EF88EA82">
      <w:start w:val="2021"/>
      <w:numFmt w:val="bullet"/>
      <w:lvlText w:val="-"/>
      <w:lvlJc w:val="left"/>
      <w:pPr>
        <w:ind w:left="720" w:hanging="360"/>
      </w:pPr>
      <w:rPr>
        <w:rFonts w:ascii="Lato" w:eastAsiaTheme="minorHAnsi" w:hAnsi="Lato" w:cstheme="minorBidi" w:hint="default"/>
        <w:color w:val="0A0A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E"/>
    <w:rsid w:val="00026BF5"/>
    <w:rsid w:val="000A768A"/>
    <w:rsid w:val="000E226D"/>
    <w:rsid w:val="000F1B89"/>
    <w:rsid w:val="00145A1E"/>
    <w:rsid w:val="00152ECE"/>
    <w:rsid w:val="002011A0"/>
    <w:rsid w:val="00296A57"/>
    <w:rsid w:val="003D776E"/>
    <w:rsid w:val="003E4D14"/>
    <w:rsid w:val="003F640B"/>
    <w:rsid w:val="00417F0A"/>
    <w:rsid w:val="00567B67"/>
    <w:rsid w:val="00594D1F"/>
    <w:rsid w:val="005B31B4"/>
    <w:rsid w:val="005E1429"/>
    <w:rsid w:val="009A7558"/>
    <w:rsid w:val="00A86BCE"/>
    <w:rsid w:val="00AB7ABE"/>
    <w:rsid w:val="00C30588"/>
    <w:rsid w:val="00C96A75"/>
    <w:rsid w:val="00CF7AFB"/>
    <w:rsid w:val="00D019B8"/>
    <w:rsid w:val="00D11359"/>
    <w:rsid w:val="00D1246C"/>
    <w:rsid w:val="00E71E3D"/>
    <w:rsid w:val="00EC2076"/>
    <w:rsid w:val="00EC49D6"/>
    <w:rsid w:val="00F93C6F"/>
    <w:rsid w:val="00FB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1E4"/>
  <w15:chartTrackingRefBased/>
  <w15:docId w15:val="{6EC532ED-E663-49B3-8106-BB55B4BD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A1E"/>
    <w:pPr>
      <w:spacing w:after="0" w:line="240" w:lineRule="auto"/>
    </w:pPr>
  </w:style>
  <w:style w:type="character" w:styleId="Strong">
    <w:name w:val="Strong"/>
    <w:basedOn w:val="DefaultParagraphFont"/>
    <w:uiPriority w:val="22"/>
    <w:qFormat/>
    <w:rsid w:val="00CF7AFB"/>
    <w:rPr>
      <w:b/>
      <w:bCs/>
    </w:rPr>
  </w:style>
  <w:style w:type="character" w:styleId="Hyperlink">
    <w:name w:val="Hyperlink"/>
    <w:basedOn w:val="DefaultParagraphFont"/>
    <w:uiPriority w:val="99"/>
    <w:unhideWhenUsed/>
    <w:rsid w:val="00EC2076"/>
    <w:rPr>
      <w:color w:val="0563C1"/>
      <w:u w:val="single"/>
    </w:rPr>
  </w:style>
  <w:style w:type="paragraph" w:styleId="ListParagraph">
    <w:name w:val="List Paragraph"/>
    <w:basedOn w:val="Normal"/>
    <w:uiPriority w:val="34"/>
    <w:qFormat/>
    <w:rsid w:val="002011A0"/>
    <w:pPr>
      <w:ind w:left="720"/>
      <w:contextualSpacing/>
    </w:pPr>
  </w:style>
  <w:style w:type="character" w:styleId="UnresolvedMention">
    <w:name w:val="Unresolved Mention"/>
    <w:basedOn w:val="DefaultParagraphFont"/>
    <w:uiPriority w:val="99"/>
    <w:semiHidden/>
    <w:unhideWhenUsed/>
    <w:rsid w:val="009A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795">
      <w:bodyDiv w:val="1"/>
      <w:marLeft w:val="0"/>
      <w:marRight w:val="0"/>
      <w:marTop w:val="0"/>
      <w:marBottom w:val="0"/>
      <w:divBdr>
        <w:top w:val="none" w:sz="0" w:space="0" w:color="auto"/>
        <w:left w:val="none" w:sz="0" w:space="0" w:color="auto"/>
        <w:bottom w:val="none" w:sz="0" w:space="0" w:color="auto"/>
        <w:right w:val="none" w:sz="0" w:space="0" w:color="auto"/>
      </w:divBdr>
    </w:div>
    <w:div w:id="110781206">
      <w:bodyDiv w:val="1"/>
      <w:marLeft w:val="0"/>
      <w:marRight w:val="0"/>
      <w:marTop w:val="0"/>
      <w:marBottom w:val="0"/>
      <w:divBdr>
        <w:top w:val="none" w:sz="0" w:space="0" w:color="auto"/>
        <w:left w:val="none" w:sz="0" w:space="0" w:color="auto"/>
        <w:bottom w:val="none" w:sz="0" w:space="0" w:color="auto"/>
        <w:right w:val="none" w:sz="0" w:space="0" w:color="auto"/>
      </w:divBdr>
    </w:div>
    <w:div w:id="398752442">
      <w:bodyDiv w:val="1"/>
      <w:marLeft w:val="0"/>
      <w:marRight w:val="0"/>
      <w:marTop w:val="0"/>
      <w:marBottom w:val="0"/>
      <w:divBdr>
        <w:top w:val="none" w:sz="0" w:space="0" w:color="auto"/>
        <w:left w:val="none" w:sz="0" w:space="0" w:color="auto"/>
        <w:bottom w:val="none" w:sz="0" w:space="0" w:color="auto"/>
        <w:right w:val="none" w:sz="0" w:space="0" w:color="auto"/>
      </w:divBdr>
    </w:div>
    <w:div w:id="638724945">
      <w:bodyDiv w:val="1"/>
      <w:marLeft w:val="0"/>
      <w:marRight w:val="0"/>
      <w:marTop w:val="0"/>
      <w:marBottom w:val="0"/>
      <w:divBdr>
        <w:top w:val="none" w:sz="0" w:space="0" w:color="auto"/>
        <w:left w:val="none" w:sz="0" w:space="0" w:color="auto"/>
        <w:bottom w:val="none" w:sz="0" w:space="0" w:color="auto"/>
        <w:right w:val="none" w:sz="0" w:space="0" w:color="auto"/>
      </w:divBdr>
    </w:div>
    <w:div w:id="785540064">
      <w:bodyDiv w:val="1"/>
      <w:marLeft w:val="0"/>
      <w:marRight w:val="0"/>
      <w:marTop w:val="0"/>
      <w:marBottom w:val="0"/>
      <w:divBdr>
        <w:top w:val="none" w:sz="0" w:space="0" w:color="auto"/>
        <w:left w:val="none" w:sz="0" w:space="0" w:color="auto"/>
        <w:bottom w:val="none" w:sz="0" w:space="0" w:color="auto"/>
        <w:right w:val="none" w:sz="0" w:space="0" w:color="auto"/>
      </w:divBdr>
    </w:div>
    <w:div w:id="899242907">
      <w:bodyDiv w:val="1"/>
      <w:marLeft w:val="0"/>
      <w:marRight w:val="0"/>
      <w:marTop w:val="0"/>
      <w:marBottom w:val="0"/>
      <w:divBdr>
        <w:top w:val="none" w:sz="0" w:space="0" w:color="auto"/>
        <w:left w:val="none" w:sz="0" w:space="0" w:color="auto"/>
        <w:bottom w:val="none" w:sz="0" w:space="0" w:color="auto"/>
        <w:right w:val="none" w:sz="0" w:space="0" w:color="auto"/>
      </w:divBdr>
    </w:div>
    <w:div w:id="1180773318">
      <w:bodyDiv w:val="1"/>
      <w:marLeft w:val="0"/>
      <w:marRight w:val="0"/>
      <w:marTop w:val="0"/>
      <w:marBottom w:val="0"/>
      <w:divBdr>
        <w:top w:val="none" w:sz="0" w:space="0" w:color="auto"/>
        <w:left w:val="none" w:sz="0" w:space="0" w:color="auto"/>
        <w:bottom w:val="none" w:sz="0" w:space="0" w:color="auto"/>
        <w:right w:val="none" w:sz="0" w:space="0" w:color="auto"/>
      </w:divBdr>
    </w:div>
    <w:div w:id="1463573775">
      <w:bodyDiv w:val="1"/>
      <w:marLeft w:val="0"/>
      <w:marRight w:val="0"/>
      <w:marTop w:val="0"/>
      <w:marBottom w:val="0"/>
      <w:divBdr>
        <w:top w:val="none" w:sz="0" w:space="0" w:color="auto"/>
        <w:left w:val="none" w:sz="0" w:space="0" w:color="auto"/>
        <w:bottom w:val="none" w:sz="0" w:space="0" w:color="auto"/>
        <w:right w:val="none" w:sz="0" w:space="0" w:color="auto"/>
      </w:divBdr>
    </w:div>
    <w:div w:id="1967543820">
      <w:bodyDiv w:val="1"/>
      <w:marLeft w:val="0"/>
      <w:marRight w:val="0"/>
      <w:marTop w:val="0"/>
      <w:marBottom w:val="0"/>
      <w:divBdr>
        <w:top w:val="none" w:sz="0" w:space="0" w:color="auto"/>
        <w:left w:val="none" w:sz="0" w:space="0" w:color="auto"/>
        <w:bottom w:val="none" w:sz="0" w:space="0" w:color="auto"/>
        <w:right w:val="none" w:sz="0" w:space="0" w:color="auto"/>
      </w:divBdr>
    </w:div>
    <w:div w:id="20496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2021-05-21T16:21:00Z</dcterms:created>
  <dcterms:modified xsi:type="dcterms:W3CDTF">2021-05-21T16:21:00Z</dcterms:modified>
</cp:coreProperties>
</file>