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E16F6" w14:textId="7253FC5F" w:rsidR="002763C0" w:rsidRDefault="008D5CB8" w:rsidP="002763C0">
      <w:pPr>
        <w:pStyle w:val="NoSpacing"/>
        <w:rPr>
          <w:rFonts w:ascii="Times New Roman" w:hAnsi="Times New Roman" w:cs="Times New Roman"/>
          <w:i/>
          <w:iCs/>
          <w:sz w:val="56"/>
          <w:szCs w:val="56"/>
          <w:u w:val="single"/>
        </w:rPr>
      </w:pPr>
      <w:r>
        <w:rPr>
          <w:rFonts w:ascii="Times New Roman" w:hAnsi="Times New Roman" w:cs="Times New Roman"/>
          <w:i/>
          <w:iCs/>
          <w:sz w:val="56"/>
          <w:szCs w:val="56"/>
          <w:u w:val="single"/>
        </w:rPr>
        <w:t>News Release</w:t>
      </w:r>
    </w:p>
    <w:p w14:paraId="1133C89E" w14:textId="77777777" w:rsidR="002763C0" w:rsidRDefault="002763C0" w:rsidP="002763C0">
      <w:pPr>
        <w:pStyle w:val="NoSpacing"/>
        <w:rPr>
          <w:rFonts w:cs="Arial"/>
          <w:szCs w:val="24"/>
        </w:rPr>
      </w:pPr>
    </w:p>
    <w:p w14:paraId="0AA4026F" w14:textId="77777777" w:rsidR="002763C0" w:rsidRPr="009E7129" w:rsidRDefault="002763C0" w:rsidP="002763C0">
      <w:pPr>
        <w:pStyle w:val="NoSpacing"/>
        <w:rPr>
          <w:szCs w:val="24"/>
        </w:rPr>
      </w:pPr>
      <w:r w:rsidRPr="009E7129">
        <w:rPr>
          <w:szCs w:val="24"/>
        </w:rPr>
        <w:t>Gebroe-Hammer Associates</w:t>
      </w:r>
    </w:p>
    <w:p w14:paraId="50FE162B" w14:textId="77777777" w:rsidR="002763C0" w:rsidRPr="009E7129" w:rsidRDefault="002763C0" w:rsidP="002763C0">
      <w:pPr>
        <w:pStyle w:val="NoSpacing"/>
        <w:rPr>
          <w:szCs w:val="24"/>
        </w:rPr>
      </w:pPr>
      <w:r w:rsidRPr="009E7129">
        <w:rPr>
          <w:szCs w:val="24"/>
        </w:rPr>
        <w:t>2 West Northfield Road</w:t>
      </w:r>
    </w:p>
    <w:p w14:paraId="3EA55227" w14:textId="77777777" w:rsidR="002763C0" w:rsidRPr="009E7129" w:rsidRDefault="002763C0" w:rsidP="002763C0">
      <w:pPr>
        <w:pStyle w:val="NoSpacing"/>
        <w:rPr>
          <w:szCs w:val="24"/>
        </w:rPr>
      </w:pPr>
      <w:r w:rsidRPr="009E7129">
        <w:rPr>
          <w:szCs w:val="24"/>
        </w:rPr>
        <w:t>Livingston, NJ 07039</w:t>
      </w:r>
    </w:p>
    <w:p w14:paraId="674D7689" w14:textId="77777777" w:rsidR="002763C0" w:rsidRPr="009E7129" w:rsidRDefault="002763C0" w:rsidP="002763C0">
      <w:pPr>
        <w:pStyle w:val="NoSpacing"/>
        <w:rPr>
          <w:rFonts w:eastAsia="Times New Roman" w:cs="Arial"/>
          <w:szCs w:val="24"/>
        </w:rPr>
      </w:pPr>
    </w:p>
    <w:p w14:paraId="21C953D7" w14:textId="77777777" w:rsidR="002763C0" w:rsidRPr="009E7129" w:rsidRDefault="002763C0" w:rsidP="002763C0">
      <w:pPr>
        <w:pStyle w:val="NoSpacing"/>
        <w:rPr>
          <w:rFonts w:eastAsia="Times New Roman" w:cs="Arial"/>
          <w:noProof/>
          <w:szCs w:val="24"/>
        </w:rPr>
      </w:pPr>
      <w:r w:rsidRPr="009E7129">
        <w:rPr>
          <w:rFonts w:eastAsia="Times New Roman" w:cs="Arial"/>
          <w:szCs w:val="24"/>
        </w:rPr>
        <w:t>Media Contact:</w:t>
      </w:r>
      <w:r w:rsidRPr="009E7129">
        <w:rPr>
          <w:rFonts w:eastAsia="Times New Roman" w:cs="Arial"/>
          <w:szCs w:val="24"/>
        </w:rPr>
        <w:tab/>
        <w:t xml:space="preserve">Carin McDonald / </w:t>
      </w:r>
      <w:hyperlink r:id="rId5" w:history="1">
        <w:r w:rsidRPr="009E7129">
          <w:rPr>
            <w:rStyle w:val="Hyperlink"/>
            <w:rFonts w:eastAsia="Times New Roman" w:cs="Arial"/>
            <w:color w:val="0070C0"/>
            <w:szCs w:val="24"/>
          </w:rPr>
          <w:t>carin@cmmstrategic.com</w:t>
        </w:r>
      </w:hyperlink>
      <w:r w:rsidRPr="009E7129">
        <w:rPr>
          <w:rFonts w:eastAsia="Times New Roman" w:cs="Arial"/>
          <w:szCs w:val="24"/>
        </w:rPr>
        <w:t xml:space="preserve"> /</w:t>
      </w:r>
      <w:r w:rsidRPr="009E7129">
        <w:rPr>
          <w:rFonts w:cs="Arial"/>
          <w:szCs w:val="24"/>
        </w:rPr>
        <w:t xml:space="preserve"> </w:t>
      </w:r>
      <w:r w:rsidRPr="009E7129">
        <w:rPr>
          <w:rFonts w:eastAsia="Times New Roman" w:cs="Arial"/>
          <w:noProof/>
          <w:szCs w:val="24"/>
        </w:rPr>
        <w:t>973.513.9580</w:t>
      </w:r>
    </w:p>
    <w:p w14:paraId="43A2326D" w14:textId="77777777" w:rsidR="002763C0" w:rsidRPr="009E7129" w:rsidRDefault="002763C0" w:rsidP="002763C0">
      <w:pPr>
        <w:pStyle w:val="NoSpacing"/>
        <w:rPr>
          <w:rStyle w:val="Hyperlink"/>
          <w:rFonts w:eastAsia="Times New Roman" w:cs="Arial"/>
          <w:color w:val="0070C0"/>
          <w:szCs w:val="24"/>
        </w:rPr>
      </w:pPr>
      <w:r w:rsidRPr="009E7129">
        <w:rPr>
          <w:rFonts w:eastAsia="Times New Roman" w:cs="Arial"/>
          <w:noProof/>
          <w:szCs w:val="24"/>
        </w:rPr>
        <w:tab/>
      </w:r>
      <w:r w:rsidRPr="009E7129">
        <w:rPr>
          <w:rFonts w:eastAsia="Times New Roman" w:cs="Arial"/>
          <w:noProof/>
          <w:szCs w:val="24"/>
        </w:rPr>
        <w:tab/>
      </w:r>
      <w:r w:rsidRPr="009E7129">
        <w:rPr>
          <w:rFonts w:eastAsia="Times New Roman" w:cs="Arial"/>
          <w:noProof/>
          <w:szCs w:val="24"/>
        </w:rPr>
        <w:tab/>
      </w:r>
      <w:r w:rsidRPr="009E7129">
        <w:rPr>
          <w:rFonts w:eastAsia="Times New Roman" w:cs="Arial"/>
          <w:szCs w:val="24"/>
        </w:rPr>
        <w:t xml:space="preserve">Follow us on </w:t>
      </w:r>
      <w:hyperlink r:id="rId6" w:history="1">
        <w:r w:rsidRPr="009E7129">
          <w:rPr>
            <w:rStyle w:val="Hyperlink"/>
            <w:rFonts w:eastAsia="Times New Roman" w:cs="Arial"/>
            <w:color w:val="0070C0"/>
            <w:szCs w:val="24"/>
          </w:rPr>
          <w:t>Twitter</w:t>
        </w:r>
      </w:hyperlink>
      <w:r w:rsidRPr="009E7129">
        <w:rPr>
          <w:rFonts w:eastAsia="Times New Roman" w:cs="Arial"/>
          <w:szCs w:val="24"/>
        </w:rPr>
        <w:t xml:space="preserve"> / </w:t>
      </w:r>
      <w:hyperlink r:id="rId7" w:history="1">
        <w:r w:rsidRPr="009E7129">
          <w:rPr>
            <w:rStyle w:val="Hyperlink"/>
            <w:rFonts w:eastAsia="Times New Roman" w:cs="Arial"/>
            <w:color w:val="0070C0"/>
            <w:szCs w:val="24"/>
          </w:rPr>
          <w:t>LinkedIn</w:t>
        </w:r>
      </w:hyperlink>
      <w:r w:rsidRPr="009E7129">
        <w:rPr>
          <w:rFonts w:eastAsia="Times New Roman" w:cs="Arial"/>
          <w:szCs w:val="24"/>
        </w:rPr>
        <w:t xml:space="preserve"> / </w:t>
      </w:r>
      <w:hyperlink r:id="rId8" w:history="1">
        <w:r w:rsidRPr="009E7129">
          <w:rPr>
            <w:rStyle w:val="Hyperlink"/>
            <w:rFonts w:eastAsia="Times New Roman" w:cs="Arial"/>
            <w:color w:val="0070C0"/>
            <w:szCs w:val="24"/>
          </w:rPr>
          <w:t>Facebook</w:t>
        </w:r>
      </w:hyperlink>
    </w:p>
    <w:p w14:paraId="407558D6" w14:textId="77777777" w:rsidR="002763C0" w:rsidRPr="009E7129" w:rsidRDefault="002763C0" w:rsidP="004B10C1">
      <w:pPr>
        <w:pStyle w:val="NoSpacing"/>
        <w:rPr>
          <w:b/>
          <w:bCs/>
          <w:szCs w:val="24"/>
        </w:rPr>
      </w:pPr>
    </w:p>
    <w:p w14:paraId="70DDF064" w14:textId="77777777" w:rsidR="004B10C1" w:rsidRPr="009E7129" w:rsidRDefault="004B10C1" w:rsidP="004B10C1">
      <w:pPr>
        <w:pStyle w:val="NoSpacing"/>
        <w:rPr>
          <w:b/>
          <w:bCs/>
          <w:szCs w:val="24"/>
        </w:rPr>
      </w:pPr>
      <w:r w:rsidRPr="009E7129">
        <w:rPr>
          <w:b/>
          <w:bCs/>
          <w:szCs w:val="24"/>
        </w:rPr>
        <w:t xml:space="preserve">Gebroe-Hammer Associates </w:t>
      </w:r>
      <w:r w:rsidR="002763C0" w:rsidRPr="009E7129">
        <w:rPr>
          <w:b/>
          <w:bCs/>
          <w:szCs w:val="24"/>
        </w:rPr>
        <w:t xml:space="preserve">Records Historic-High </w:t>
      </w:r>
      <w:r w:rsidRPr="009E7129">
        <w:rPr>
          <w:b/>
          <w:bCs/>
          <w:szCs w:val="24"/>
        </w:rPr>
        <w:t>$1.9 Billion in</w:t>
      </w:r>
      <w:r w:rsidR="002763C0" w:rsidRPr="009E7129">
        <w:rPr>
          <w:b/>
          <w:bCs/>
          <w:szCs w:val="24"/>
        </w:rPr>
        <w:t xml:space="preserve"> 2019</w:t>
      </w:r>
      <w:r w:rsidRPr="009E7129">
        <w:rPr>
          <w:b/>
          <w:bCs/>
          <w:szCs w:val="24"/>
        </w:rPr>
        <w:t xml:space="preserve"> Sales</w:t>
      </w:r>
    </w:p>
    <w:p w14:paraId="0D5C26B0" w14:textId="77777777" w:rsidR="004B10C1" w:rsidRPr="009E7129" w:rsidRDefault="00D630B5" w:rsidP="004B10C1">
      <w:pPr>
        <w:pStyle w:val="NoSpacing"/>
        <w:rPr>
          <w:i/>
          <w:iCs/>
          <w:szCs w:val="24"/>
        </w:rPr>
      </w:pPr>
      <w:r w:rsidRPr="009E7129">
        <w:rPr>
          <w:i/>
          <w:iCs/>
          <w:szCs w:val="24"/>
        </w:rPr>
        <w:t>12,155</w:t>
      </w:r>
      <w:r w:rsidR="002763C0" w:rsidRPr="009E7129">
        <w:rPr>
          <w:i/>
          <w:iCs/>
          <w:szCs w:val="24"/>
        </w:rPr>
        <w:t xml:space="preserve"> Units Trade in </w:t>
      </w:r>
      <w:r w:rsidRPr="009E7129">
        <w:rPr>
          <w:i/>
          <w:iCs/>
          <w:szCs w:val="24"/>
        </w:rPr>
        <w:t>127</w:t>
      </w:r>
      <w:r w:rsidR="002763C0" w:rsidRPr="009E7129">
        <w:rPr>
          <w:i/>
          <w:iCs/>
          <w:szCs w:val="24"/>
        </w:rPr>
        <w:t xml:space="preserve"> Deals across NJ, Eastern PA and Southern New York State</w:t>
      </w:r>
    </w:p>
    <w:p w14:paraId="2344F93E" w14:textId="77777777" w:rsidR="002763C0" w:rsidRPr="009E7129" w:rsidRDefault="002763C0" w:rsidP="004B10C1">
      <w:pPr>
        <w:pStyle w:val="NoSpacing"/>
        <w:rPr>
          <w:i/>
          <w:iCs/>
          <w:szCs w:val="24"/>
        </w:rPr>
      </w:pPr>
    </w:p>
    <w:p w14:paraId="281A880E" w14:textId="0A396CAB" w:rsidR="00357988" w:rsidRPr="009E7129" w:rsidRDefault="004B10C1" w:rsidP="004B10C1">
      <w:pPr>
        <w:pStyle w:val="NoSpacing"/>
        <w:rPr>
          <w:szCs w:val="24"/>
        </w:rPr>
      </w:pPr>
      <w:r w:rsidRPr="009E7129">
        <w:rPr>
          <w:b/>
          <w:bCs/>
          <w:szCs w:val="24"/>
        </w:rPr>
        <w:t xml:space="preserve">LIVINGSTON, N.J., January </w:t>
      </w:r>
      <w:r w:rsidR="00F52CFF">
        <w:rPr>
          <w:b/>
          <w:bCs/>
          <w:szCs w:val="24"/>
        </w:rPr>
        <w:t>9</w:t>
      </w:r>
      <w:r w:rsidRPr="009E7129">
        <w:rPr>
          <w:b/>
          <w:bCs/>
          <w:szCs w:val="24"/>
        </w:rPr>
        <w:t>, 2020</w:t>
      </w:r>
      <w:r w:rsidRPr="009E7129">
        <w:rPr>
          <w:szCs w:val="24"/>
        </w:rPr>
        <w:t xml:space="preserve"> – Multi-family </w:t>
      </w:r>
      <w:r w:rsidR="002209C3" w:rsidRPr="009E7129">
        <w:rPr>
          <w:szCs w:val="24"/>
        </w:rPr>
        <w:t xml:space="preserve">investment confidence </w:t>
      </w:r>
      <w:r w:rsidR="00357988" w:rsidRPr="009E7129">
        <w:rPr>
          <w:szCs w:val="24"/>
        </w:rPr>
        <w:t>ran high</w:t>
      </w:r>
      <w:r w:rsidR="002209C3" w:rsidRPr="009E7129">
        <w:rPr>
          <w:szCs w:val="24"/>
        </w:rPr>
        <w:t xml:space="preserve"> </w:t>
      </w:r>
      <w:r w:rsidR="008F1AF3" w:rsidRPr="009E7129">
        <w:rPr>
          <w:szCs w:val="24"/>
        </w:rPr>
        <w:t xml:space="preserve">throughout </w:t>
      </w:r>
      <w:r w:rsidR="002209C3" w:rsidRPr="009E7129">
        <w:rPr>
          <w:szCs w:val="24"/>
        </w:rPr>
        <w:t>2019</w:t>
      </w:r>
      <w:r w:rsidR="00C32AD4" w:rsidRPr="009E7129">
        <w:rPr>
          <w:szCs w:val="24"/>
        </w:rPr>
        <w:t>, with occupancy rates looming above the long-term norm</w:t>
      </w:r>
      <w:r w:rsidR="00E816C2">
        <w:rPr>
          <w:szCs w:val="24"/>
        </w:rPr>
        <w:t xml:space="preserve"> and an unquenchable demand for value-add opportunities throughout the spectrum</w:t>
      </w:r>
      <w:r w:rsidR="00C32AD4" w:rsidRPr="009E7129">
        <w:rPr>
          <w:szCs w:val="24"/>
        </w:rPr>
        <w:t xml:space="preserve"> </w:t>
      </w:r>
      <w:r w:rsidR="004E4D98">
        <w:rPr>
          <w:szCs w:val="24"/>
        </w:rPr>
        <w:t>paving</w:t>
      </w:r>
      <w:r w:rsidR="00C32AD4" w:rsidRPr="009E7129">
        <w:rPr>
          <w:szCs w:val="24"/>
        </w:rPr>
        <w:t xml:space="preserve"> the way</w:t>
      </w:r>
      <w:r w:rsidR="00357988" w:rsidRPr="009E7129">
        <w:rPr>
          <w:szCs w:val="24"/>
        </w:rPr>
        <w:t xml:space="preserve"> for an even stronger 2020, </w:t>
      </w:r>
      <w:r w:rsidR="008F1AF3" w:rsidRPr="009E7129">
        <w:rPr>
          <w:szCs w:val="24"/>
        </w:rPr>
        <w:t xml:space="preserve">according to </w:t>
      </w:r>
      <w:hyperlink r:id="rId9" w:history="1">
        <w:r w:rsidR="008F1AF3" w:rsidRPr="005D274B">
          <w:rPr>
            <w:rStyle w:val="Hyperlink"/>
            <w:szCs w:val="24"/>
          </w:rPr>
          <w:t>Gebroe-Hammer Associates</w:t>
        </w:r>
      </w:hyperlink>
      <w:r w:rsidR="008F1AF3" w:rsidRPr="009E7129">
        <w:rPr>
          <w:szCs w:val="24"/>
        </w:rPr>
        <w:t xml:space="preserve">. </w:t>
      </w:r>
      <w:r w:rsidR="00C32AD4" w:rsidRPr="009E7129">
        <w:rPr>
          <w:szCs w:val="24"/>
        </w:rPr>
        <w:t>Based in New Jersey, Gebroe-Hammer</w:t>
      </w:r>
      <w:r w:rsidR="008F1AF3" w:rsidRPr="009E7129">
        <w:rPr>
          <w:szCs w:val="24"/>
        </w:rPr>
        <w:t xml:space="preserve"> is</w:t>
      </w:r>
      <w:r w:rsidR="00357988" w:rsidRPr="009E7129">
        <w:rPr>
          <w:szCs w:val="24"/>
        </w:rPr>
        <w:t xml:space="preserve"> a </w:t>
      </w:r>
      <w:r w:rsidR="006B3462">
        <w:rPr>
          <w:szCs w:val="24"/>
        </w:rPr>
        <w:t xml:space="preserve">nationally </w:t>
      </w:r>
      <w:r w:rsidR="00357988" w:rsidRPr="009E7129">
        <w:rPr>
          <w:szCs w:val="24"/>
        </w:rPr>
        <w:t>ranked</w:t>
      </w:r>
      <w:r w:rsidR="008F1AF3" w:rsidRPr="009E7129">
        <w:rPr>
          <w:szCs w:val="24"/>
        </w:rPr>
        <w:t xml:space="preserve"> multi-family</w:t>
      </w:r>
      <w:r w:rsidR="00C32AD4" w:rsidRPr="009E7129">
        <w:rPr>
          <w:szCs w:val="24"/>
        </w:rPr>
        <w:t>-</w:t>
      </w:r>
      <w:r w:rsidR="008F1AF3" w:rsidRPr="009E7129">
        <w:rPr>
          <w:szCs w:val="24"/>
        </w:rPr>
        <w:t>focused investment brokerage firm</w:t>
      </w:r>
      <w:r w:rsidR="00357988" w:rsidRPr="009E7129">
        <w:rPr>
          <w:szCs w:val="24"/>
        </w:rPr>
        <w:t xml:space="preserve"> with a reported </w:t>
      </w:r>
      <w:r w:rsidR="00D630B5" w:rsidRPr="009E7129">
        <w:rPr>
          <w:szCs w:val="24"/>
        </w:rPr>
        <w:t>127</w:t>
      </w:r>
      <w:r w:rsidR="00357988" w:rsidRPr="009E7129">
        <w:rPr>
          <w:szCs w:val="24"/>
        </w:rPr>
        <w:t xml:space="preserve"> apartment-property sales transactions totaling $1.9B and </w:t>
      </w:r>
      <w:r w:rsidR="00D630B5" w:rsidRPr="009E7129">
        <w:rPr>
          <w:szCs w:val="24"/>
        </w:rPr>
        <w:t>12,155</w:t>
      </w:r>
      <w:r w:rsidR="00357988" w:rsidRPr="009E7129">
        <w:rPr>
          <w:szCs w:val="24"/>
        </w:rPr>
        <w:t xml:space="preserve"> units recorded last year – a </w:t>
      </w:r>
      <w:r w:rsidR="00D71F33">
        <w:rPr>
          <w:szCs w:val="24"/>
        </w:rPr>
        <w:t>72</w:t>
      </w:r>
      <w:r w:rsidR="00357988" w:rsidRPr="009E7129">
        <w:rPr>
          <w:szCs w:val="24"/>
        </w:rPr>
        <w:t>% increase over 2018 and a promising marker of things to come for the sector in the next 12 months.</w:t>
      </w:r>
    </w:p>
    <w:p w14:paraId="1CE25455" w14:textId="77777777" w:rsidR="00357988" w:rsidRPr="009E7129" w:rsidRDefault="00357988" w:rsidP="004B10C1">
      <w:pPr>
        <w:pStyle w:val="NoSpacing"/>
        <w:rPr>
          <w:szCs w:val="24"/>
        </w:rPr>
      </w:pPr>
    </w:p>
    <w:p w14:paraId="31CA1327" w14:textId="77777777" w:rsidR="00541362" w:rsidRPr="009E7129" w:rsidRDefault="00357988" w:rsidP="004B10C1">
      <w:pPr>
        <w:pStyle w:val="NoSpacing"/>
        <w:rPr>
          <w:rFonts w:cs="Arial"/>
          <w:szCs w:val="24"/>
        </w:rPr>
      </w:pPr>
      <w:r w:rsidRPr="009E7129">
        <w:rPr>
          <w:szCs w:val="24"/>
        </w:rPr>
        <w:t>“</w:t>
      </w:r>
      <w:r w:rsidR="00D26EAD">
        <w:rPr>
          <w:szCs w:val="24"/>
        </w:rPr>
        <w:t>2019</w:t>
      </w:r>
      <w:r w:rsidRPr="009E7129">
        <w:rPr>
          <w:szCs w:val="24"/>
        </w:rPr>
        <w:t xml:space="preserve"> proved to be a </w:t>
      </w:r>
      <w:r w:rsidR="00D26EAD">
        <w:rPr>
          <w:szCs w:val="24"/>
        </w:rPr>
        <w:t>record</w:t>
      </w:r>
      <w:r w:rsidR="00BE7869">
        <w:rPr>
          <w:szCs w:val="24"/>
        </w:rPr>
        <w:t>-</w:t>
      </w:r>
      <w:r w:rsidR="00D26EAD">
        <w:rPr>
          <w:szCs w:val="24"/>
        </w:rPr>
        <w:t xml:space="preserve">shattering year in our firm’s </w:t>
      </w:r>
      <w:r w:rsidRPr="009E7129">
        <w:rPr>
          <w:szCs w:val="24"/>
        </w:rPr>
        <w:t xml:space="preserve">44-year </w:t>
      </w:r>
      <w:r w:rsidR="00D26EAD">
        <w:rPr>
          <w:szCs w:val="24"/>
        </w:rPr>
        <w:t xml:space="preserve">history </w:t>
      </w:r>
      <w:r w:rsidRPr="009E7129">
        <w:rPr>
          <w:szCs w:val="24"/>
        </w:rPr>
        <w:t>a</w:t>
      </w:r>
      <w:r w:rsidR="00541362" w:rsidRPr="009E7129">
        <w:rPr>
          <w:szCs w:val="24"/>
        </w:rPr>
        <w:t>s well as</w:t>
      </w:r>
      <w:r w:rsidRPr="009E7129">
        <w:rPr>
          <w:szCs w:val="24"/>
        </w:rPr>
        <w:t xml:space="preserve"> </w:t>
      </w:r>
      <w:r w:rsidR="00B501C1">
        <w:rPr>
          <w:szCs w:val="24"/>
        </w:rPr>
        <w:t xml:space="preserve">for </w:t>
      </w:r>
      <w:r w:rsidRPr="009E7129">
        <w:rPr>
          <w:szCs w:val="24"/>
        </w:rPr>
        <w:t xml:space="preserve">the most in-favor commercial real estate asset </w:t>
      </w:r>
      <w:r w:rsidR="00C42C7C" w:rsidRPr="009E7129">
        <w:rPr>
          <w:szCs w:val="24"/>
        </w:rPr>
        <w:t xml:space="preserve">– apartment-rental properties – </w:t>
      </w:r>
      <w:r w:rsidRPr="009E7129">
        <w:rPr>
          <w:szCs w:val="24"/>
        </w:rPr>
        <w:t>across every investor</w:t>
      </w:r>
      <w:r w:rsidR="00BE7869">
        <w:rPr>
          <w:szCs w:val="24"/>
        </w:rPr>
        <w:t xml:space="preserve"> </w:t>
      </w:r>
      <w:r w:rsidRPr="009E7129">
        <w:rPr>
          <w:szCs w:val="24"/>
        </w:rPr>
        <w:t xml:space="preserve">category – from high-net-worth individuals and family offices to private equity firms and institutional entities,” said Ken Uranowitz, </w:t>
      </w:r>
      <w:r w:rsidR="00C42C7C" w:rsidRPr="009E7129">
        <w:rPr>
          <w:szCs w:val="24"/>
        </w:rPr>
        <w:t>Gebroe-Hammer president who joined the firm at its inception in 1975.</w:t>
      </w:r>
      <w:r w:rsidR="00541362" w:rsidRPr="009E7129">
        <w:rPr>
          <w:szCs w:val="24"/>
        </w:rPr>
        <w:t xml:space="preserve"> “As </w:t>
      </w:r>
      <w:r w:rsidR="00541362" w:rsidRPr="009E7129">
        <w:rPr>
          <w:rFonts w:cs="Arial"/>
          <w:szCs w:val="24"/>
        </w:rPr>
        <w:t xml:space="preserve">new-product deliveries top off this </w:t>
      </w:r>
      <w:r w:rsidR="00D630B5" w:rsidRPr="009E7129">
        <w:rPr>
          <w:rFonts w:cs="Arial"/>
          <w:szCs w:val="24"/>
        </w:rPr>
        <w:t xml:space="preserve">coming </w:t>
      </w:r>
      <w:r w:rsidR="00541362" w:rsidRPr="009E7129">
        <w:rPr>
          <w:rFonts w:cs="Arial"/>
          <w:szCs w:val="24"/>
        </w:rPr>
        <w:t xml:space="preserve">year and apartment-fundamental pressure eases, multi-family investments </w:t>
      </w:r>
      <w:r w:rsidR="00C96833" w:rsidRPr="009E7129">
        <w:rPr>
          <w:rFonts w:cs="Arial"/>
          <w:szCs w:val="24"/>
        </w:rPr>
        <w:t>are expected to</w:t>
      </w:r>
      <w:r w:rsidR="00541362" w:rsidRPr="009E7129">
        <w:rPr>
          <w:rFonts w:cs="Arial"/>
          <w:szCs w:val="24"/>
        </w:rPr>
        <w:t xml:space="preserve"> continue their successive gains, quarter to quarter and year-over-year.”</w:t>
      </w:r>
    </w:p>
    <w:p w14:paraId="304D8394" w14:textId="77777777" w:rsidR="00541362" w:rsidRPr="009E7129" w:rsidRDefault="00541362" w:rsidP="004B10C1">
      <w:pPr>
        <w:pStyle w:val="NoSpacing"/>
        <w:rPr>
          <w:rFonts w:cs="Arial"/>
          <w:szCs w:val="24"/>
        </w:rPr>
      </w:pPr>
    </w:p>
    <w:p w14:paraId="28BD9863" w14:textId="77777777" w:rsidR="00206B3E" w:rsidRPr="009E7129" w:rsidRDefault="00C96833" w:rsidP="00541362">
      <w:pPr>
        <w:pStyle w:val="NoSpacing"/>
        <w:rPr>
          <w:rFonts w:cs="Arial"/>
          <w:szCs w:val="24"/>
        </w:rPr>
      </w:pPr>
      <w:r w:rsidRPr="009E7129">
        <w:rPr>
          <w:rFonts w:cs="Arial"/>
          <w:szCs w:val="24"/>
        </w:rPr>
        <w:t xml:space="preserve">In so doing, </w:t>
      </w:r>
      <w:r w:rsidR="00541362" w:rsidRPr="009E7129">
        <w:rPr>
          <w:rFonts w:cs="Arial"/>
          <w:szCs w:val="24"/>
        </w:rPr>
        <w:t>asking-rent and property</w:t>
      </w:r>
      <w:r w:rsidR="006B3462">
        <w:rPr>
          <w:rFonts w:cs="Arial"/>
          <w:szCs w:val="24"/>
        </w:rPr>
        <w:t>-</w:t>
      </w:r>
      <w:r w:rsidR="00541362" w:rsidRPr="009E7129">
        <w:rPr>
          <w:rFonts w:cs="Arial"/>
          <w:szCs w:val="24"/>
        </w:rPr>
        <w:t>value acceleration will reach the mid-to-high range, depending on local submarket and overall metro variables</w:t>
      </w:r>
      <w:r w:rsidRPr="009E7129">
        <w:rPr>
          <w:rFonts w:cs="Arial"/>
          <w:szCs w:val="24"/>
        </w:rPr>
        <w:t>, according to Uranowitz</w:t>
      </w:r>
      <w:r w:rsidR="00C43E0B" w:rsidRPr="009E7129">
        <w:rPr>
          <w:rFonts w:cs="Arial"/>
          <w:szCs w:val="24"/>
        </w:rPr>
        <w:t xml:space="preserve">. </w:t>
      </w:r>
      <w:r w:rsidRPr="009E7129">
        <w:rPr>
          <w:rFonts w:cs="Arial"/>
          <w:szCs w:val="24"/>
        </w:rPr>
        <w:t>Specifically, o</w:t>
      </w:r>
      <w:r w:rsidR="00C43E0B" w:rsidRPr="009E7129">
        <w:rPr>
          <w:rFonts w:cs="Arial"/>
          <w:szCs w:val="24"/>
        </w:rPr>
        <w:t>ne of these</w:t>
      </w:r>
      <w:r w:rsidR="00541362" w:rsidRPr="009E7129">
        <w:rPr>
          <w:rFonts w:cs="Arial"/>
          <w:szCs w:val="24"/>
        </w:rPr>
        <w:t xml:space="preserve"> </w:t>
      </w:r>
      <w:r w:rsidR="00C43E0B" w:rsidRPr="009E7129">
        <w:rPr>
          <w:rFonts w:cs="Arial"/>
          <w:szCs w:val="24"/>
        </w:rPr>
        <w:t xml:space="preserve">influencing factors </w:t>
      </w:r>
      <w:r w:rsidR="00541362" w:rsidRPr="009E7129">
        <w:rPr>
          <w:rFonts w:cs="Arial"/>
          <w:szCs w:val="24"/>
        </w:rPr>
        <w:t xml:space="preserve">is the </w:t>
      </w:r>
      <w:r w:rsidR="00C43E0B" w:rsidRPr="009E7129">
        <w:rPr>
          <w:rFonts w:cs="Arial"/>
          <w:szCs w:val="24"/>
        </w:rPr>
        <w:t xml:space="preserve">widespread </w:t>
      </w:r>
      <w:r w:rsidR="00541362" w:rsidRPr="009E7129">
        <w:rPr>
          <w:rFonts w:cs="Arial"/>
          <w:szCs w:val="24"/>
        </w:rPr>
        <w:t>focus on revitalization and adaptive reuse efforts from the cities to the suburbs.</w:t>
      </w:r>
    </w:p>
    <w:p w14:paraId="0C8BDCB8" w14:textId="77777777" w:rsidR="00206B3E" w:rsidRPr="009E7129" w:rsidRDefault="00206B3E" w:rsidP="00541362">
      <w:pPr>
        <w:pStyle w:val="NoSpacing"/>
        <w:rPr>
          <w:rFonts w:cs="Arial"/>
          <w:szCs w:val="24"/>
        </w:rPr>
      </w:pPr>
    </w:p>
    <w:p w14:paraId="6C9F2EA5" w14:textId="77777777" w:rsidR="00D630B5" w:rsidRPr="009E7129" w:rsidRDefault="00833D95" w:rsidP="00541362">
      <w:pPr>
        <w:pStyle w:val="NoSpacing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Urban</w:t>
      </w:r>
      <w:r w:rsidR="00D630B5" w:rsidRPr="009E7129">
        <w:rPr>
          <w:rFonts w:cs="Arial"/>
          <w:szCs w:val="24"/>
          <w:u w:val="single"/>
        </w:rPr>
        <w:t xml:space="preserve"> Phenomenon</w:t>
      </w:r>
      <w:r>
        <w:rPr>
          <w:rFonts w:cs="Arial"/>
          <w:szCs w:val="24"/>
          <w:u w:val="single"/>
        </w:rPr>
        <w:t xml:space="preserve"> Hits the Suburbs</w:t>
      </w:r>
    </w:p>
    <w:p w14:paraId="31CD6BCD" w14:textId="77777777" w:rsidR="00FB039A" w:rsidRDefault="00BA2475" w:rsidP="00541362">
      <w:pPr>
        <w:pStyle w:val="NoSpacing"/>
        <w:rPr>
          <w:rFonts w:cs="Arial"/>
          <w:szCs w:val="24"/>
        </w:rPr>
      </w:pPr>
      <w:r w:rsidRPr="009E7129">
        <w:rPr>
          <w:rFonts w:cs="Arial"/>
          <w:szCs w:val="24"/>
        </w:rPr>
        <w:t>“This phenomenon is being fed by the live/work/play formul</w:t>
      </w:r>
      <w:r w:rsidR="00B0559B" w:rsidRPr="009E7129">
        <w:rPr>
          <w:rFonts w:cs="Arial"/>
          <w:szCs w:val="24"/>
        </w:rPr>
        <w:t>a, which</w:t>
      </w:r>
      <w:r w:rsidR="000D0634" w:rsidRPr="009E7129">
        <w:rPr>
          <w:rFonts w:cs="Arial"/>
          <w:szCs w:val="24"/>
        </w:rPr>
        <w:t xml:space="preserve"> found </w:t>
      </w:r>
      <w:r w:rsidR="00C96833" w:rsidRPr="009E7129">
        <w:rPr>
          <w:rFonts w:cs="Arial"/>
          <w:szCs w:val="24"/>
        </w:rPr>
        <w:t xml:space="preserve">initial </w:t>
      </w:r>
      <w:r w:rsidR="000D0634" w:rsidRPr="009E7129">
        <w:rPr>
          <w:rFonts w:cs="Arial"/>
          <w:szCs w:val="24"/>
        </w:rPr>
        <w:t>success</w:t>
      </w:r>
      <w:r w:rsidRPr="009E7129">
        <w:rPr>
          <w:rFonts w:cs="Arial"/>
          <w:szCs w:val="24"/>
        </w:rPr>
        <w:t xml:space="preserve"> in 24/7 urban centers and </w:t>
      </w:r>
      <w:r w:rsidR="00C96833" w:rsidRPr="009E7129">
        <w:rPr>
          <w:rFonts w:cs="Arial"/>
          <w:szCs w:val="24"/>
        </w:rPr>
        <w:t>now extend</w:t>
      </w:r>
      <w:r w:rsidR="00B0559B" w:rsidRPr="009E7129">
        <w:rPr>
          <w:rFonts w:cs="Arial"/>
          <w:szCs w:val="24"/>
        </w:rPr>
        <w:t>s</w:t>
      </w:r>
      <w:r w:rsidR="00C96833" w:rsidRPr="009E7129">
        <w:rPr>
          <w:rFonts w:cs="Arial"/>
          <w:szCs w:val="24"/>
        </w:rPr>
        <w:t xml:space="preserve"> to </w:t>
      </w:r>
      <w:r w:rsidRPr="009E7129">
        <w:rPr>
          <w:rFonts w:cs="Arial"/>
          <w:szCs w:val="24"/>
        </w:rPr>
        <w:t>outer-fringe ‘urbanesque’ boroughs, townships and villages</w:t>
      </w:r>
      <w:r w:rsidR="00C96833" w:rsidRPr="009E7129">
        <w:rPr>
          <w:rFonts w:cs="Arial"/>
          <w:szCs w:val="24"/>
        </w:rPr>
        <w:t xml:space="preserve">. </w:t>
      </w:r>
      <w:r w:rsidRPr="009E7129">
        <w:rPr>
          <w:rFonts w:cs="Arial"/>
          <w:szCs w:val="24"/>
        </w:rPr>
        <w:t>Each is</w:t>
      </w:r>
      <w:r w:rsidR="00347372" w:rsidRPr="009E7129">
        <w:rPr>
          <w:rFonts w:cs="Arial"/>
          <w:szCs w:val="24"/>
        </w:rPr>
        <w:t xml:space="preserve"> walkable and convenient to</w:t>
      </w:r>
      <w:r w:rsidRPr="009E7129">
        <w:rPr>
          <w:rFonts w:cs="Arial"/>
          <w:szCs w:val="24"/>
        </w:rPr>
        <w:t xml:space="preserve"> </w:t>
      </w:r>
      <w:r w:rsidR="00347372" w:rsidRPr="009E7129">
        <w:rPr>
          <w:rFonts w:cs="Arial"/>
          <w:szCs w:val="24"/>
        </w:rPr>
        <w:t>commuter transit options,</w:t>
      </w:r>
      <w:r w:rsidR="00B0559B" w:rsidRPr="009E7129">
        <w:rPr>
          <w:rFonts w:cs="Arial"/>
          <w:szCs w:val="24"/>
        </w:rPr>
        <w:t xml:space="preserve"> </w:t>
      </w:r>
      <w:r w:rsidR="006B3462">
        <w:rPr>
          <w:rFonts w:cs="Arial"/>
          <w:szCs w:val="24"/>
        </w:rPr>
        <w:t xml:space="preserve">has </w:t>
      </w:r>
      <w:r w:rsidR="00B0559B" w:rsidRPr="009E7129">
        <w:rPr>
          <w:rFonts w:cs="Arial"/>
          <w:szCs w:val="24"/>
        </w:rPr>
        <w:t xml:space="preserve">a rental housing stock </w:t>
      </w:r>
      <w:r w:rsidR="00551C3B">
        <w:rPr>
          <w:rFonts w:cs="Arial"/>
          <w:szCs w:val="24"/>
        </w:rPr>
        <w:t xml:space="preserve">that is </w:t>
      </w:r>
      <w:r w:rsidR="00B0559B" w:rsidRPr="009E7129">
        <w:rPr>
          <w:rFonts w:cs="Arial"/>
          <w:szCs w:val="24"/>
        </w:rPr>
        <w:t xml:space="preserve">undergoing a </w:t>
      </w:r>
      <w:r w:rsidR="00347372" w:rsidRPr="009E7129">
        <w:rPr>
          <w:rFonts w:cs="Arial"/>
          <w:szCs w:val="24"/>
        </w:rPr>
        <w:t xml:space="preserve">renaissance, </w:t>
      </w:r>
      <w:r w:rsidR="006B3462">
        <w:rPr>
          <w:rFonts w:cs="Arial"/>
          <w:szCs w:val="24"/>
        </w:rPr>
        <w:t xml:space="preserve">popular </w:t>
      </w:r>
      <w:r w:rsidR="00347372" w:rsidRPr="009E7129">
        <w:rPr>
          <w:rFonts w:cs="Arial"/>
          <w:szCs w:val="24"/>
        </w:rPr>
        <w:t xml:space="preserve">dining/retail centers and </w:t>
      </w:r>
      <w:r w:rsidR="00551C3B">
        <w:rPr>
          <w:rFonts w:cs="Arial"/>
          <w:szCs w:val="24"/>
        </w:rPr>
        <w:t xml:space="preserve">central </w:t>
      </w:r>
      <w:r w:rsidR="00347372" w:rsidRPr="009E7129">
        <w:rPr>
          <w:rFonts w:cs="Arial"/>
          <w:szCs w:val="24"/>
        </w:rPr>
        <w:t xml:space="preserve">employment hubs,” </w:t>
      </w:r>
      <w:r w:rsidR="00833D95">
        <w:rPr>
          <w:rFonts w:cs="Arial"/>
          <w:szCs w:val="24"/>
        </w:rPr>
        <w:t>explained Uranowitz</w:t>
      </w:r>
      <w:r w:rsidR="00347372" w:rsidRPr="009E7129">
        <w:rPr>
          <w:rFonts w:cs="Arial"/>
          <w:szCs w:val="24"/>
        </w:rPr>
        <w:t>.</w:t>
      </w:r>
      <w:r w:rsidR="006C7BA0" w:rsidRPr="009E7129">
        <w:rPr>
          <w:rFonts w:cs="Arial"/>
          <w:szCs w:val="24"/>
        </w:rPr>
        <w:t xml:space="preserve"> </w:t>
      </w:r>
    </w:p>
    <w:p w14:paraId="30AD54B1" w14:textId="77777777" w:rsidR="00552DFF" w:rsidRDefault="00552DFF" w:rsidP="00541362">
      <w:pPr>
        <w:pStyle w:val="NoSpacing"/>
        <w:rPr>
          <w:rFonts w:cs="Arial"/>
          <w:szCs w:val="24"/>
        </w:rPr>
      </w:pPr>
    </w:p>
    <w:p w14:paraId="0496CD24" w14:textId="77777777" w:rsidR="00FB039A" w:rsidRPr="009E7129" w:rsidRDefault="00552DFF" w:rsidP="00541362">
      <w:pPr>
        <w:pStyle w:val="NoSpacing"/>
        <w:rPr>
          <w:rFonts w:cs="Arial"/>
          <w:szCs w:val="24"/>
        </w:rPr>
      </w:pPr>
      <w:r w:rsidRPr="00D71F33">
        <w:rPr>
          <w:rFonts w:cs="Arial"/>
          <w:szCs w:val="24"/>
        </w:rPr>
        <w:t xml:space="preserve">During 2019, Gebroe-Hammer Associates was extremely active </w:t>
      </w:r>
      <w:r w:rsidR="00C9153A" w:rsidRPr="00D71F33">
        <w:rPr>
          <w:rFonts w:cs="Arial"/>
          <w:szCs w:val="24"/>
        </w:rPr>
        <w:t xml:space="preserve">in </w:t>
      </w:r>
      <w:r w:rsidRPr="00D71F33">
        <w:rPr>
          <w:rFonts w:cs="Arial"/>
          <w:szCs w:val="24"/>
        </w:rPr>
        <w:t>exclusively representing sellers and procuring buyers in some of the Northeast’s most in-demand urban regions</w:t>
      </w:r>
      <w:r w:rsidR="00C9153A" w:rsidRPr="00D71F33">
        <w:rPr>
          <w:rFonts w:cs="Arial"/>
          <w:szCs w:val="24"/>
        </w:rPr>
        <w:t xml:space="preserve">. A high concentration of sales were recorded in </w:t>
      </w:r>
      <w:r w:rsidR="00021068" w:rsidRPr="00D71F33">
        <w:rPr>
          <w:rFonts w:cs="Arial"/>
          <w:szCs w:val="24"/>
        </w:rPr>
        <w:t>New Jersey’s</w:t>
      </w:r>
      <w:r w:rsidR="00551C3B" w:rsidRPr="00D71F33">
        <w:rPr>
          <w:rFonts w:cs="Arial"/>
          <w:szCs w:val="24"/>
        </w:rPr>
        <w:t xml:space="preserve"> </w:t>
      </w:r>
      <w:r w:rsidRPr="00D71F33">
        <w:rPr>
          <w:rFonts w:cs="Arial"/>
          <w:szCs w:val="24"/>
        </w:rPr>
        <w:t>East Essex, Western and Southeastern</w:t>
      </w:r>
      <w:r>
        <w:rPr>
          <w:rFonts w:cs="Arial"/>
          <w:szCs w:val="24"/>
        </w:rPr>
        <w:t xml:space="preserve"> Union</w:t>
      </w:r>
      <w:r w:rsidR="00021068">
        <w:rPr>
          <w:rFonts w:cs="Arial"/>
          <w:szCs w:val="24"/>
        </w:rPr>
        <w:t xml:space="preserve"> and </w:t>
      </w:r>
      <w:r>
        <w:rPr>
          <w:rFonts w:cs="Arial"/>
          <w:szCs w:val="24"/>
        </w:rPr>
        <w:t>Passaic</w:t>
      </w:r>
      <w:r w:rsidR="00021068">
        <w:rPr>
          <w:rFonts w:cs="Arial"/>
          <w:szCs w:val="24"/>
        </w:rPr>
        <w:t xml:space="preserve"> counties</w:t>
      </w:r>
      <w:r>
        <w:rPr>
          <w:rFonts w:cs="Arial"/>
          <w:szCs w:val="24"/>
        </w:rPr>
        <w:t xml:space="preserve"> </w:t>
      </w:r>
      <w:r w:rsidR="00021068">
        <w:rPr>
          <w:rFonts w:cs="Arial"/>
          <w:szCs w:val="24"/>
        </w:rPr>
        <w:t>as well as</w:t>
      </w:r>
      <w:r>
        <w:rPr>
          <w:rFonts w:cs="Arial"/>
          <w:szCs w:val="24"/>
        </w:rPr>
        <w:t xml:space="preserve"> </w:t>
      </w:r>
      <w:r w:rsidR="00021068">
        <w:rPr>
          <w:rFonts w:cs="Arial"/>
          <w:szCs w:val="24"/>
        </w:rPr>
        <w:t>every municipality in Hudson County</w:t>
      </w:r>
      <w:r>
        <w:rPr>
          <w:rFonts w:cs="Arial"/>
          <w:szCs w:val="24"/>
        </w:rPr>
        <w:t xml:space="preserve">. In total, the firm </w:t>
      </w:r>
      <w:r>
        <w:rPr>
          <w:rFonts w:cs="Arial"/>
          <w:szCs w:val="24"/>
        </w:rPr>
        <w:lastRenderedPageBreak/>
        <w:t xml:space="preserve">arranged sales </w:t>
      </w:r>
      <w:r w:rsidR="00551C3B">
        <w:rPr>
          <w:rFonts w:cs="Arial"/>
          <w:szCs w:val="24"/>
        </w:rPr>
        <w:t xml:space="preserve">throughout these hotbeds </w:t>
      </w:r>
      <w:r>
        <w:rPr>
          <w:rFonts w:cs="Arial"/>
          <w:szCs w:val="24"/>
        </w:rPr>
        <w:t>involving 3,683 units</w:t>
      </w:r>
      <w:r w:rsidR="00551C3B">
        <w:rPr>
          <w:rFonts w:cs="Arial"/>
          <w:szCs w:val="24"/>
        </w:rPr>
        <w:t xml:space="preserve"> with a sales value in excess of</w:t>
      </w:r>
      <w:r>
        <w:rPr>
          <w:rFonts w:cs="Arial"/>
          <w:szCs w:val="24"/>
        </w:rPr>
        <w:t xml:space="preserve"> </w:t>
      </w:r>
      <w:r w:rsidR="00551C3B">
        <w:rPr>
          <w:rFonts w:cs="Arial"/>
          <w:szCs w:val="24"/>
        </w:rPr>
        <w:t>$606.8 million.</w:t>
      </w:r>
      <w:r>
        <w:rPr>
          <w:rFonts w:cs="Arial"/>
          <w:szCs w:val="24"/>
        </w:rPr>
        <w:t xml:space="preserve">   </w:t>
      </w:r>
    </w:p>
    <w:p w14:paraId="28489274" w14:textId="77777777" w:rsidR="00504587" w:rsidRPr="009E7129" w:rsidRDefault="00504587" w:rsidP="00541362">
      <w:pPr>
        <w:pStyle w:val="NoSpacing"/>
        <w:rPr>
          <w:rFonts w:cs="Arial"/>
          <w:szCs w:val="24"/>
        </w:rPr>
      </w:pPr>
    </w:p>
    <w:p w14:paraId="032744B6" w14:textId="0E718124" w:rsidR="00FB039A" w:rsidRPr="009E7129" w:rsidRDefault="00551C3B" w:rsidP="00541362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”</w:t>
      </w:r>
      <w:r w:rsidR="00663CBD" w:rsidRPr="009E7129">
        <w:rPr>
          <w:rFonts w:cs="Arial"/>
          <w:szCs w:val="24"/>
        </w:rPr>
        <w:t xml:space="preserve">The </w:t>
      </w:r>
      <w:r w:rsidR="00663CBD" w:rsidRPr="009E7129">
        <w:rPr>
          <w:szCs w:val="24"/>
        </w:rPr>
        <w:t xml:space="preserve">progressive repositioning of cities in this region is directly linked to far-reaching downtown revitalization plans crafted to spur new construction and value-add </w:t>
      </w:r>
      <w:bookmarkStart w:id="0" w:name="_GoBack"/>
      <w:bookmarkEnd w:id="0"/>
      <w:r w:rsidR="00663CBD" w:rsidRPr="009E7129">
        <w:rPr>
          <w:szCs w:val="24"/>
        </w:rPr>
        <w:t>of existing properties,” added David Oropeza, executive managing director and the firm’s urban-core market specialist. “Collectively, these efforts are</w:t>
      </w:r>
      <w:r w:rsidR="006B3462">
        <w:rPr>
          <w:szCs w:val="24"/>
        </w:rPr>
        <w:t xml:space="preserve"> benefitting from</w:t>
      </w:r>
      <w:r w:rsidR="00D630B5" w:rsidRPr="009E7129">
        <w:rPr>
          <w:szCs w:val="24"/>
        </w:rPr>
        <w:t xml:space="preserve"> </w:t>
      </w:r>
      <w:r w:rsidR="006B3462">
        <w:rPr>
          <w:szCs w:val="24"/>
        </w:rPr>
        <w:t xml:space="preserve">private investment and, in turn, </w:t>
      </w:r>
      <w:r w:rsidR="00663CBD" w:rsidRPr="009E7129">
        <w:rPr>
          <w:szCs w:val="24"/>
        </w:rPr>
        <w:t xml:space="preserve">gentrification.” </w:t>
      </w:r>
      <w:r w:rsidR="00FB039A" w:rsidRPr="009E7129">
        <w:rPr>
          <w:rFonts w:cs="Arial"/>
          <w:szCs w:val="24"/>
        </w:rPr>
        <w:t xml:space="preserve"> </w:t>
      </w:r>
    </w:p>
    <w:p w14:paraId="1483A20F" w14:textId="77777777" w:rsidR="004C127F" w:rsidRPr="009E7129" w:rsidRDefault="004C127F" w:rsidP="00541362">
      <w:pPr>
        <w:pStyle w:val="NoSpacing"/>
        <w:rPr>
          <w:rFonts w:cs="Arial"/>
          <w:szCs w:val="24"/>
        </w:rPr>
      </w:pPr>
    </w:p>
    <w:p w14:paraId="18ECC5D0" w14:textId="77777777" w:rsidR="00021068" w:rsidRDefault="004C127F" w:rsidP="00551C3B">
      <w:pPr>
        <w:pStyle w:val="NoSpacing"/>
        <w:rPr>
          <w:rFonts w:cs="Arial"/>
          <w:szCs w:val="24"/>
        </w:rPr>
      </w:pPr>
      <w:r w:rsidRPr="009E7129">
        <w:rPr>
          <w:rFonts w:cs="Arial"/>
          <w:szCs w:val="24"/>
        </w:rPr>
        <w:t>Similarly, t</w:t>
      </w:r>
      <w:r w:rsidR="00C71790" w:rsidRPr="009E7129">
        <w:rPr>
          <w:rFonts w:cs="Arial"/>
          <w:szCs w:val="24"/>
        </w:rPr>
        <w:t xml:space="preserve">his </w:t>
      </w:r>
      <w:r w:rsidRPr="009E7129">
        <w:rPr>
          <w:rFonts w:cs="Arial"/>
          <w:szCs w:val="24"/>
        </w:rPr>
        <w:t>same</w:t>
      </w:r>
      <w:r w:rsidR="00665794" w:rsidRPr="009E7129">
        <w:rPr>
          <w:rFonts w:cs="Arial"/>
          <w:szCs w:val="24"/>
        </w:rPr>
        <w:t xml:space="preserve"> </w:t>
      </w:r>
      <w:r w:rsidRPr="009E7129">
        <w:rPr>
          <w:rFonts w:cs="Arial"/>
          <w:szCs w:val="24"/>
        </w:rPr>
        <w:t>town</w:t>
      </w:r>
      <w:r w:rsidR="00665794" w:rsidRPr="009E7129">
        <w:rPr>
          <w:rFonts w:cs="Arial"/>
          <w:szCs w:val="24"/>
        </w:rPr>
        <w:t>-</w:t>
      </w:r>
      <w:r w:rsidRPr="009E7129">
        <w:rPr>
          <w:rFonts w:cs="Arial"/>
          <w:szCs w:val="24"/>
        </w:rPr>
        <w:t>center model</w:t>
      </w:r>
      <w:r w:rsidR="00665794" w:rsidRPr="009E7129">
        <w:rPr>
          <w:rFonts w:cs="Arial"/>
          <w:szCs w:val="24"/>
        </w:rPr>
        <w:t xml:space="preserve"> has made its way to the suburbs </w:t>
      </w:r>
      <w:r w:rsidR="00D630B5" w:rsidRPr="009E7129">
        <w:rPr>
          <w:rFonts w:cs="Arial"/>
          <w:szCs w:val="24"/>
        </w:rPr>
        <w:t>to attract</w:t>
      </w:r>
      <w:r w:rsidR="00665794" w:rsidRPr="009E7129">
        <w:rPr>
          <w:rFonts w:cs="Arial"/>
          <w:szCs w:val="24"/>
        </w:rPr>
        <w:t xml:space="preserve"> </w:t>
      </w:r>
      <w:r w:rsidR="00C71790" w:rsidRPr="009E7129">
        <w:rPr>
          <w:rFonts w:cs="Arial"/>
          <w:szCs w:val="24"/>
        </w:rPr>
        <w:t>for</w:t>
      </w:r>
      <w:r w:rsidR="00B0559B" w:rsidRPr="009E7129">
        <w:rPr>
          <w:rFonts w:cs="Arial"/>
          <w:szCs w:val="24"/>
        </w:rPr>
        <w:t>mer urban-dwelling</w:t>
      </w:r>
      <w:r w:rsidR="00C71790" w:rsidRPr="009E7129">
        <w:rPr>
          <w:rFonts w:cs="Arial"/>
          <w:szCs w:val="24"/>
        </w:rPr>
        <w:t xml:space="preserve"> millennials w</w:t>
      </w:r>
      <w:r w:rsidR="006B3462">
        <w:rPr>
          <w:rFonts w:cs="Arial"/>
          <w:szCs w:val="24"/>
        </w:rPr>
        <w:t>ho now have</w:t>
      </w:r>
      <w:r w:rsidR="00C71790" w:rsidRPr="009E7129">
        <w:rPr>
          <w:rFonts w:cs="Arial"/>
          <w:szCs w:val="24"/>
        </w:rPr>
        <w:t xml:space="preserve"> school-aged children </w:t>
      </w:r>
      <w:r w:rsidR="00665794" w:rsidRPr="009E7129">
        <w:rPr>
          <w:rFonts w:cs="Arial"/>
          <w:szCs w:val="24"/>
        </w:rPr>
        <w:t xml:space="preserve">as well as affluent, downsizing empty nesters seeking to remain close to their friends and family. “The former remains loyal to their long-term choice of apartment-home living, while the latter </w:t>
      </w:r>
      <w:r w:rsidR="00B0559B" w:rsidRPr="009E7129">
        <w:rPr>
          <w:rFonts w:cs="Arial"/>
          <w:szCs w:val="24"/>
        </w:rPr>
        <w:t>is</w:t>
      </w:r>
      <w:r w:rsidR="00D630B5" w:rsidRPr="009E7129">
        <w:rPr>
          <w:rFonts w:cs="Arial"/>
          <w:szCs w:val="24"/>
        </w:rPr>
        <w:t xml:space="preserve"> opting</w:t>
      </w:r>
      <w:r w:rsidR="00B0559B" w:rsidRPr="009E7129">
        <w:rPr>
          <w:rFonts w:cs="Arial"/>
          <w:szCs w:val="24"/>
        </w:rPr>
        <w:t xml:space="preserve"> </w:t>
      </w:r>
      <w:r w:rsidR="00665794" w:rsidRPr="009E7129">
        <w:rPr>
          <w:rFonts w:cs="Arial"/>
          <w:szCs w:val="24"/>
        </w:rPr>
        <w:t xml:space="preserve">to retain their local ties without the burden of shoveling snow or costly home repairs,” said Uranowitz. </w:t>
      </w:r>
    </w:p>
    <w:p w14:paraId="4E6D750F" w14:textId="77777777" w:rsidR="00021068" w:rsidRDefault="00021068" w:rsidP="00551C3B">
      <w:pPr>
        <w:pStyle w:val="NoSpacing"/>
        <w:rPr>
          <w:rFonts w:cs="Arial"/>
          <w:szCs w:val="24"/>
        </w:rPr>
      </w:pPr>
    </w:p>
    <w:p w14:paraId="583098A3" w14:textId="6E7C0C3C" w:rsidR="00337732" w:rsidRPr="00337732" w:rsidRDefault="00021068" w:rsidP="00337732">
      <w:pPr>
        <w:pStyle w:val="NoSpacing"/>
        <w:rPr>
          <w:rFonts w:cs="Arial"/>
          <w:szCs w:val="24"/>
        </w:rPr>
      </w:pPr>
      <w:r w:rsidRPr="00D71F33">
        <w:rPr>
          <w:rFonts w:cs="Arial"/>
          <w:szCs w:val="24"/>
        </w:rPr>
        <w:t>The firm</w:t>
      </w:r>
      <w:r w:rsidR="00C9153A" w:rsidRPr="00D71F33">
        <w:rPr>
          <w:rFonts w:cs="Arial"/>
          <w:szCs w:val="24"/>
        </w:rPr>
        <w:t xml:space="preserve"> was especially active in New Jersey’s </w:t>
      </w:r>
      <w:r w:rsidRPr="00D71F33">
        <w:rPr>
          <w:rFonts w:cs="Arial"/>
          <w:szCs w:val="24"/>
        </w:rPr>
        <w:t>s</w:t>
      </w:r>
      <w:r w:rsidR="00957D11" w:rsidRPr="00D71F33">
        <w:rPr>
          <w:rFonts w:cs="Arial"/>
          <w:szCs w:val="24"/>
        </w:rPr>
        <w:t>uburban village</w:t>
      </w:r>
      <w:r w:rsidR="006B3462" w:rsidRPr="00D71F33">
        <w:rPr>
          <w:rFonts w:cs="Arial"/>
          <w:szCs w:val="24"/>
        </w:rPr>
        <w:t>-</w:t>
      </w:r>
      <w:r w:rsidR="00957D11" w:rsidRPr="00D71F33">
        <w:rPr>
          <w:rFonts w:cs="Arial"/>
          <w:szCs w:val="24"/>
        </w:rPr>
        <w:t xml:space="preserve">center </w:t>
      </w:r>
      <w:r w:rsidR="000B20B9" w:rsidRPr="00D71F33">
        <w:rPr>
          <w:rFonts w:cs="Arial"/>
          <w:szCs w:val="24"/>
        </w:rPr>
        <w:t>submarket</w:t>
      </w:r>
      <w:r w:rsidR="00C9153A" w:rsidRPr="00D71F33">
        <w:rPr>
          <w:rFonts w:cs="Arial"/>
          <w:szCs w:val="24"/>
        </w:rPr>
        <w:t>s</w:t>
      </w:r>
      <w:r w:rsidR="00337732">
        <w:rPr>
          <w:rFonts w:cs="Arial"/>
          <w:szCs w:val="24"/>
        </w:rPr>
        <w:t xml:space="preserve">, where Gebroe-Hammer recorded </w:t>
      </w:r>
      <w:r w:rsidR="00E816C2">
        <w:rPr>
          <w:rFonts w:cs="Arial"/>
          <w:szCs w:val="24"/>
        </w:rPr>
        <w:t xml:space="preserve">the largest </w:t>
      </w:r>
      <w:r w:rsidR="00337732">
        <w:rPr>
          <w:rFonts w:cs="Arial"/>
          <w:szCs w:val="24"/>
        </w:rPr>
        <w:t xml:space="preserve">portfolio sale in </w:t>
      </w:r>
      <w:r w:rsidR="00E816C2">
        <w:rPr>
          <w:rFonts w:cs="Arial"/>
          <w:szCs w:val="24"/>
        </w:rPr>
        <w:t xml:space="preserve">the state </w:t>
      </w:r>
      <w:r w:rsidR="00337732">
        <w:rPr>
          <w:rFonts w:cs="Arial"/>
          <w:szCs w:val="24"/>
        </w:rPr>
        <w:t xml:space="preserve"> involving over 1,800 units. In total, the $300M transaction encompassed six properties</w:t>
      </w:r>
      <w:r w:rsidR="00D26EAD">
        <w:rPr>
          <w:rFonts w:cs="Arial"/>
          <w:szCs w:val="24"/>
        </w:rPr>
        <w:t xml:space="preserve"> in west Essex and Bergen counties</w:t>
      </w:r>
      <w:r w:rsidR="00337732">
        <w:rPr>
          <w:rFonts w:cs="Arial"/>
          <w:szCs w:val="24"/>
        </w:rPr>
        <w:t xml:space="preserve">: </w:t>
      </w:r>
      <w:r w:rsidR="00337732" w:rsidRPr="00337732">
        <w:t>Franklin Manor (85 units)</w:t>
      </w:r>
      <w:r w:rsidR="004E4D98">
        <w:rPr>
          <w:rFonts w:cs="Arial"/>
          <w:szCs w:val="24"/>
        </w:rPr>
        <w:t xml:space="preserve"> and</w:t>
      </w:r>
      <w:r w:rsidR="00337732">
        <w:rPr>
          <w:rFonts w:cs="Arial"/>
          <w:szCs w:val="24"/>
        </w:rPr>
        <w:t xml:space="preserve"> </w:t>
      </w:r>
      <w:r w:rsidR="00337732" w:rsidRPr="00337732">
        <w:t>Forest Hill </w:t>
      </w:r>
      <w:r w:rsidR="004E4D98">
        <w:t xml:space="preserve">(816 units), both in </w:t>
      </w:r>
      <w:r w:rsidR="00337732" w:rsidRPr="00337732">
        <w:t>Bloomfield</w:t>
      </w:r>
      <w:r w:rsidR="004E4D98">
        <w:rPr>
          <w:rFonts w:cs="Arial"/>
          <w:szCs w:val="24"/>
        </w:rPr>
        <w:t>;</w:t>
      </w:r>
      <w:r w:rsidR="00337732">
        <w:rPr>
          <w:rFonts w:cs="Arial"/>
          <w:szCs w:val="24"/>
        </w:rPr>
        <w:t xml:space="preserve"> </w:t>
      </w:r>
      <w:r w:rsidR="00337732" w:rsidRPr="00337732">
        <w:t>Nutley Properties </w:t>
      </w:r>
      <w:r w:rsidR="004E4D98">
        <w:t xml:space="preserve">in </w:t>
      </w:r>
      <w:r w:rsidR="00337732" w:rsidRPr="00337732">
        <w:t>Nutley (200 units)</w:t>
      </w:r>
      <w:r w:rsidR="00337732">
        <w:t>;</w:t>
      </w:r>
      <w:r w:rsidR="00337732">
        <w:rPr>
          <w:rFonts w:cs="Arial"/>
          <w:szCs w:val="24"/>
        </w:rPr>
        <w:t xml:space="preserve"> </w:t>
      </w:r>
      <w:r w:rsidR="00337732" w:rsidRPr="00337732">
        <w:t>Essex Gardens </w:t>
      </w:r>
      <w:r w:rsidR="004E4D98">
        <w:t xml:space="preserve">in </w:t>
      </w:r>
      <w:r w:rsidR="00337732" w:rsidRPr="00337732">
        <w:t>Maywood (120 units)</w:t>
      </w:r>
      <w:r w:rsidR="00337732">
        <w:rPr>
          <w:rFonts w:cs="Arial"/>
          <w:szCs w:val="24"/>
        </w:rPr>
        <w:t xml:space="preserve">; </w:t>
      </w:r>
      <w:r w:rsidR="004E4D98">
        <w:rPr>
          <w:rFonts w:cs="Arial"/>
          <w:szCs w:val="24"/>
        </w:rPr>
        <w:t xml:space="preserve">and </w:t>
      </w:r>
      <w:r w:rsidR="00337732" w:rsidRPr="00337732">
        <w:t>Hillside Village (412 units)</w:t>
      </w:r>
      <w:r w:rsidR="00337732">
        <w:rPr>
          <w:rFonts w:cs="Arial"/>
          <w:szCs w:val="24"/>
        </w:rPr>
        <w:t xml:space="preserve"> and </w:t>
      </w:r>
      <w:r w:rsidR="00337732" w:rsidRPr="00337732">
        <w:t>Ridgefield Gardens </w:t>
      </w:r>
      <w:r w:rsidR="004E4D98">
        <w:t xml:space="preserve">(198 units), both in </w:t>
      </w:r>
      <w:r w:rsidR="00337732" w:rsidRPr="00337732">
        <w:t>Ridgefield</w:t>
      </w:r>
      <w:r w:rsidR="00B9062C">
        <w:t>.</w:t>
      </w:r>
      <w:r w:rsidR="00126A4A">
        <w:t xml:space="preserve"> </w:t>
      </w:r>
      <w:r w:rsidR="007F3F2C">
        <w:t>Gebroe-Hammer</w:t>
      </w:r>
      <w:r w:rsidR="00337732">
        <w:t xml:space="preserve"> exclusively represented the seller, a private investor, and procured the buyer, a New York City-based real estate investment company. </w:t>
      </w:r>
    </w:p>
    <w:p w14:paraId="5B5C9D66" w14:textId="77777777" w:rsidR="00337732" w:rsidRDefault="00337732" w:rsidP="00551C3B">
      <w:pPr>
        <w:pStyle w:val="NoSpacing"/>
        <w:rPr>
          <w:rFonts w:cs="Arial"/>
          <w:szCs w:val="24"/>
        </w:rPr>
      </w:pPr>
    </w:p>
    <w:p w14:paraId="0B0F3962" w14:textId="77777777" w:rsidR="00337732" w:rsidRDefault="00337732" w:rsidP="00551C3B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Other Northern and Central Jersey centers of sales activity </w:t>
      </w:r>
      <w:r w:rsidR="00C9153A" w:rsidRPr="00D71F33">
        <w:rPr>
          <w:rFonts w:cs="Arial"/>
          <w:szCs w:val="24"/>
        </w:rPr>
        <w:t xml:space="preserve">included but were not limited to </w:t>
      </w:r>
      <w:r w:rsidR="00957D11" w:rsidRPr="00D71F33">
        <w:rPr>
          <w:rFonts w:cs="Arial"/>
          <w:szCs w:val="24"/>
        </w:rPr>
        <w:t>Bergen County (1,131 units/$179M); Middlesex County (644</w:t>
      </w:r>
      <w:r w:rsidR="00957D11" w:rsidRPr="009E7129">
        <w:rPr>
          <w:rFonts w:cs="Arial"/>
          <w:szCs w:val="24"/>
        </w:rPr>
        <w:t xml:space="preserve"> units/$152M);</w:t>
      </w:r>
      <w:r w:rsidR="00551C3B">
        <w:rPr>
          <w:rFonts w:cs="Arial"/>
          <w:szCs w:val="24"/>
        </w:rPr>
        <w:t xml:space="preserve"> </w:t>
      </w:r>
      <w:r w:rsidR="00957D11" w:rsidRPr="009E7129">
        <w:rPr>
          <w:rFonts w:cs="Arial"/>
          <w:szCs w:val="24"/>
        </w:rPr>
        <w:t>Somerset County (517 units/$112M)</w:t>
      </w:r>
      <w:r w:rsidR="00551C3B">
        <w:rPr>
          <w:rFonts w:cs="Arial"/>
          <w:szCs w:val="24"/>
        </w:rPr>
        <w:t>; Central Union County (191 units/$46.3M); Morris County (166 units/$50.75M); Sussex County (302 units/$34.45M); and Monmouth County (78 units plus land/$17.93M)</w:t>
      </w:r>
      <w:r>
        <w:rPr>
          <w:rFonts w:cs="Arial"/>
          <w:szCs w:val="24"/>
        </w:rPr>
        <w:t xml:space="preserve">. </w:t>
      </w:r>
    </w:p>
    <w:p w14:paraId="62192A95" w14:textId="77777777" w:rsidR="00551C3B" w:rsidRPr="009E7129" w:rsidRDefault="00551C3B" w:rsidP="00541362">
      <w:pPr>
        <w:pStyle w:val="NoSpacing"/>
        <w:rPr>
          <w:rFonts w:cs="Arial"/>
          <w:szCs w:val="24"/>
        </w:rPr>
      </w:pPr>
    </w:p>
    <w:p w14:paraId="7A8388FE" w14:textId="77777777" w:rsidR="00AD40FE" w:rsidRPr="009E7129" w:rsidRDefault="00957D11" w:rsidP="004B10C1">
      <w:pPr>
        <w:pStyle w:val="NoSpacing"/>
        <w:rPr>
          <w:rFonts w:cs="Arial"/>
          <w:szCs w:val="24"/>
        </w:rPr>
      </w:pPr>
      <w:r w:rsidRPr="009E7129">
        <w:rPr>
          <w:rFonts w:cs="Arial"/>
          <w:szCs w:val="24"/>
        </w:rPr>
        <w:t>Regardless of market, income or age group, the renter-by-choice pipeline is expanding across all geographies and apartment asset-class platforms throughout New Jersey, New York State and Eastern Pennsylvania.</w:t>
      </w:r>
      <w:r w:rsidR="00AD40FE" w:rsidRPr="009E7129">
        <w:rPr>
          <w:rFonts w:cs="Arial"/>
          <w:szCs w:val="24"/>
        </w:rPr>
        <w:t xml:space="preserve"> </w:t>
      </w:r>
      <w:r w:rsidR="006B3462">
        <w:rPr>
          <w:rFonts w:cs="Arial"/>
          <w:szCs w:val="24"/>
        </w:rPr>
        <w:t xml:space="preserve">These range from new construction Class-A+ developments to Class B/C product, offering value-add upside potential. </w:t>
      </w:r>
    </w:p>
    <w:p w14:paraId="232B6393" w14:textId="77777777" w:rsidR="00AD40FE" w:rsidRPr="009E7129" w:rsidRDefault="00AD40FE" w:rsidP="004B10C1">
      <w:pPr>
        <w:pStyle w:val="NoSpacing"/>
        <w:rPr>
          <w:rFonts w:cs="Arial"/>
          <w:szCs w:val="24"/>
        </w:rPr>
      </w:pPr>
    </w:p>
    <w:p w14:paraId="5297B613" w14:textId="77777777" w:rsidR="00D630B5" w:rsidRPr="009E7129" w:rsidRDefault="00D630B5" w:rsidP="004B10C1">
      <w:pPr>
        <w:pStyle w:val="NoSpacing"/>
        <w:rPr>
          <w:rFonts w:cs="Arial"/>
          <w:szCs w:val="24"/>
          <w:u w:val="single"/>
        </w:rPr>
      </w:pPr>
      <w:r w:rsidRPr="009E7129">
        <w:rPr>
          <w:rFonts w:cs="Arial"/>
          <w:szCs w:val="24"/>
          <w:u w:val="single"/>
        </w:rPr>
        <w:t>Greater Philadelphia Metro Leverages Center City as Focal Point</w:t>
      </w:r>
    </w:p>
    <w:p w14:paraId="2130CF2C" w14:textId="77777777" w:rsidR="00957D11" w:rsidRPr="009E7129" w:rsidRDefault="00AD40FE" w:rsidP="004B10C1">
      <w:pPr>
        <w:pStyle w:val="NoSpacing"/>
        <w:rPr>
          <w:rFonts w:cs="Arial"/>
          <w:szCs w:val="24"/>
        </w:rPr>
      </w:pPr>
      <w:r w:rsidRPr="009E7129">
        <w:rPr>
          <w:rFonts w:cs="Arial"/>
          <w:szCs w:val="24"/>
        </w:rPr>
        <w:t>In the Greater Philadelphia Metro, Gebroe-Hammer Associates orchestrated over $455M in sales involving more than 4,265 units</w:t>
      </w:r>
      <w:r w:rsidR="00D630B5" w:rsidRPr="009E7129">
        <w:rPr>
          <w:rFonts w:cs="Arial"/>
          <w:szCs w:val="24"/>
        </w:rPr>
        <w:t xml:space="preserve"> in 2019</w:t>
      </w:r>
      <w:r w:rsidRPr="009E7129">
        <w:rPr>
          <w:rFonts w:cs="Arial"/>
          <w:szCs w:val="24"/>
        </w:rPr>
        <w:t xml:space="preserve">. Centers of transaction activity included Philadelphia proper as well as Pennsylvania’s Montgomery, Monroe, Chester and Bucks counties and South New Jersey’s Atlantic, Burlington, Camden and Gloucester counties.  </w:t>
      </w:r>
    </w:p>
    <w:p w14:paraId="68887D69" w14:textId="77777777" w:rsidR="00AD40FE" w:rsidRPr="009E7129" w:rsidRDefault="00AD40FE" w:rsidP="004B10C1">
      <w:pPr>
        <w:pStyle w:val="NoSpacing"/>
        <w:rPr>
          <w:rFonts w:cs="Arial"/>
          <w:szCs w:val="24"/>
        </w:rPr>
      </w:pPr>
    </w:p>
    <w:p w14:paraId="57400859" w14:textId="77777777" w:rsidR="00370DBC" w:rsidRPr="009E7129" w:rsidRDefault="004969DF" w:rsidP="004969DF">
      <w:pPr>
        <w:pStyle w:val="NoSpacing"/>
        <w:rPr>
          <w:szCs w:val="24"/>
        </w:rPr>
      </w:pPr>
      <w:r w:rsidRPr="009E7129">
        <w:rPr>
          <w:szCs w:val="24"/>
        </w:rPr>
        <w:t xml:space="preserve">“Demand continues to ramp up throughout </w:t>
      </w:r>
      <w:r w:rsidR="00370DBC" w:rsidRPr="009E7129">
        <w:rPr>
          <w:szCs w:val="24"/>
        </w:rPr>
        <w:t xml:space="preserve">the </w:t>
      </w:r>
      <w:r w:rsidRPr="009E7129">
        <w:rPr>
          <w:szCs w:val="24"/>
        </w:rPr>
        <w:t>Greater Philadelphia</w:t>
      </w:r>
      <w:r w:rsidR="00370DBC" w:rsidRPr="009E7129">
        <w:rPr>
          <w:szCs w:val="24"/>
        </w:rPr>
        <w:t xml:space="preserve"> region – a metro on a meteoric rise in terms </w:t>
      </w:r>
      <w:r w:rsidR="00833D95">
        <w:rPr>
          <w:szCs w:val="24"/>
        </w:rPr>
        <w:t xml:space="preserve">of the entry of </w:t>
      </w:r>
      <w:r w:rsidR="00D630B5" w:rsidRPr="009E7129">
        <w:rPr>
          <w:szCs w:val="24"/>
        </w:rPr>
        <w:t>new investor</w:t>
      </w:r>
      <w:r w:rsidR="00833D95">
        <w:rPr>
          <w:szCs w:val="24"/>
        </w:rPr>
        <w:t>s</w:t>
      </w:r>
      <w:r w:rsidR="00370DBC" w:rsidRPr="009E7129">
        <w:rPr>
          <w:szCs w:val="24"/>
        </w:rPr>
        <w:t xml:space="preserve"> and capital</w:t>
      </w:r>
      <w:r w:rsidRPr="009E7129">
        <w:rPr>
          <w:szCs w:val="24"/>
        </w:rPr>
        <w:t>,” said Executive Managing Director Joseph Brecher. “</w:t>
      </w:r>
      <w:r w:rsidR="00370DBC" w:rsidRPr="009E7129">
        <w:rPr>
          <w:szCs w:val="24"/>
        </w:rPr>
        <w:t xml:space="preserve">Value-add enhancements and redevelopment initiatives are transforming the metro’s apartment stock to create a lifestyle experience </w:t>
      </w:r>
      <w:r w:rsidR="00833D95">
        <w:rPr>
          <w:szCs w:val="24"/>
        </w:rPr>
        <w:t>linking to</w:t>
      </w:r>
      <w:r w:rsidR="00D630B5" w:rsidRPr="009E7129">
        <w:rPr>
          <w:szCs w:val="24"/>
        </w:rPr>
        <w:t xml:space="preserve"> nearby</w:t>
      </w:r>
      <w:r w:rsidR="00370DBC" w:rsidRPr="009E7129">
        <w:rPr>
          <w:szCs w:val="24"/>
        </w:rPr>
        <w:t xml:space="preserve"> Center City, Philadelphia a</w:t>
      </w:r>
      <w:r w:rsidR="00D630B5" w:rsidRPr="009E7129">
        <w:rPr>
          <w:szCs w:val="24"/>
        </w:rPr>
        <w:t>s</w:t>
      </w:r>
      <w:r w:rsidR="00370DBC" w:rsidRPr="009E7129">
        <w:rPr>
          <w:szCs w:val="24"/>
        </w:rPr>
        <w:t xml:space="preserve"> the</w:t>
      </w:r>
      <w:r w:rsidR="00D630B5" w:rsidRPr="009E7129">
        <w:rPr>
          <w:szCs w:val="24"/>
        </w:rPr>
        <w:t xml:space="preserve"> vibrant</w:t>
      </w:r>
      <w:r w:rsidR="00370DBC" w:rsidRPr="009E7129">
        <w:rPr>
          <w:szCs w:val="24"/>
        </w:rPr>
        <w:t xml:space="preserve"> focal point.”</w:t>
      </w:r>
    </w:p>
    <w:p w14:paraId="4E8D2B0D" w14:textId="77777777" w:rsidR="006B3462" w:rsidRDefault="006B3462" w:rsidP="00370DBC">
      <w:pPr>
        <w:pStyle w:val="NoSpacing"/>
        <w:rPr>
          <w:rFonts w:cs="Arial"/>
          <w:szCs w:val="24"/>
        </w:rPr>
      </w:pPr>
    </w:p>
    <w:p w14:paraId="18B98112" w14:textId="77777777" w:rsidR="00370DBC" w:rsidRPr="009E7129" w:rsidRDefault="00370DBC" w:rsidP="00370DBC">
      <w:pPr>
        <w:pStyle w:val="NoSpacing"/>
        <w:rPr>
          <w:szCs w:val="24"/>
        </w:rPr>
      </w:pPr>
      <w:r w:rsidRPr="009E7129">
        <w:rPr>
          <w:rFonts w:cs="Arial"/>
          <w:szCs w:val="24"/>
        </w:rPr>
        <w:t>Gebroe-Hammer</w:t>
      </w:r>
      <w:r w:rsidR="006B3462">
        <w:rPr>
          <w:rFonts w:cs="Arial"/>
          <w:szCs w:val="24"/>
        </w:rPr>
        <w:t xml:space="preserve"> </w:t>
      </w:r>
      <w:r w:rsidRPr="009E7129">
        <w:rPr>
          <w:rFonts w:cs="Arial"/>
          <w:szCs w:val="24"/>
        </w:rPr>
        <w:t xml:space="preserve">is widely recognized for its consistent sales performance and is a 15-time CoStar Power Broker. </w:t>
      </w:r>
      <w:r w:rsidR="00833D95">
        <w:rPr>
          <w:rFonts w:cs="Arial"/>
          <w:szCs w:val="24"/>
        </w:rPr>
        <w:t>A</w:t>
      </w:r>
      <w:r w:rsidRPr="009E7129">
        <w:rPr>
          <w:rFonts w:cs="Arial"/>
          <w:szCs w:val="24"/>
        </w:rPr>
        <w:t>chievements include arranging the largest Mid-Atlantic region multi-family sale (2018) and being named a nationally ranked Multi-Family Influencer (2018); one of the nation’s top-25 single multi-family asset sales (2017); and among the nation’s top-25 multi-family brokers (2017).</w:t>
      </w:r>
    </w:p>
    <w:p w14:paraId="1F993FDF" w14:textId="77777777" w:rsidR="00370DBC" w:rsidRPr="009E7129" w:rsidRDefault="00370DBC" w:rsidP="00370DBC">
      <w:pPr>
        <w:pStyle w:val="NoSpacing"/>
        <w:rPr>
          <w:rFonts w:cs="Arial"/>
          <w:szCs w:val="24"/>
        </w:rPr>
      </w:pPr>
    </w:p>
    <w:p w14:paraId="5534078E" w14:textId="77777777" w:rsidR="00370DBC" w:rsidRPr="009E7129" w:rsidRDefault="00370DBC" w:rsidP="00370DBC">
      <w:pPr>
        <w:pStyle w:val="NoSpacing"/>
        <w:jc w:val="center"/>
        <w:rPr>
          <w:szCs w:val="24"/>
        </w:rPr>
      </w:pPr>
      <w:r w:rsidRPr="009E7129">
        <w:rPr>
          <w:szCs w:val="24"/>
        </w:rPr>
        <w:t>###</w:t>
      </w:r>
    </w:p>
    <w:p w14:paraId="4812BF9B" w14:textId="77777777" w:rsidR="00AD40FE" w:rsidRPr="009E7129" w:rsidRDefault="00370DBC" w:rsidP="004B10C1">
      <w:pPr>
        <w:pStyle w:val="NoSpacing"/>
        <w:rPr>
          <w:rFonts w:cs="Arial"/>
          <w:sz w:val="23"/>
          <w:szCs w:val="23"/>
        </w:rPr>
      </w:pPr>
      <w:r w:rsidRPr="009E7129">
        <w:rPr>
          <w:sz w:val="23"/>
          <w:szCs w:val="23"/>
        </w:rPr>
        <w:t xml:space="preserve">  </w:t>
      </w:r>
    </w:p>
    <w:sectPr w:rsidR="00AD40FE" w:rsidRPr="009E7129" w:rsidSect="009E71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012D"/>
    <w:multiLevelType w:val="multilevel"/>
    <w:tmpl w:val="B164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0C1"/>
    <w:rsid w:val="00021068"/>
    <w:rsid w:val="000A0D35"/>
    <w:rsid w:val="000B20B9"/>
    <w:rsid w:val="000C628F"/>
    <w:rsid w:val="000D0634"/>
    <w:rsid w:val="00126A4A"/>
    <w:rsid w:val="00206B3E"/>
    <w:rsid w:val="002209C3"/>
    <w:rsid w:val="002763C0"/>
    <w:rsid w:val="00306956"/>
    <w:rsid w:val="00337732"/>
    <w:rsid w:val="00347372"/>
    <w:rsid w:val="00357988"/>
    <w:rsid w:val="003645F5"/>
    <w:rsid w:val="00370DBC"/>
    <w:rsid w:val="004969DF"/>
    <w:rsid w:val="004B10C1"/>
    <w:rsid w:val="004C127F"/>
    <w:rsid w:val="004E4D98"/>
    <w:rsid w:val="00504587"/>
    <w:rsid w:val="00530D7B"/>
    <w:rsid w:val="00541362"/>
    <w:rsid w:val="00551C3B"/>
    <w:rsid w:val="00552DFF"/>
    <w:rsid w:val="005D274B"/>
    <w:rsid w:val="00663CBD"/>
    <w:rsid w:val="00665794"/>
    <w:rsid w:val="006B3462"/>
    <w:rsid w:val="006B619F"/>
    <w:rsid w:val="006C7BA0"/>
    <w:rsid w:val="00760282"/>
    <w:rsid w:val="007F3F2C"/>
    <w:rsid w:val="00833D95"/>
    <w:rsid w:val="008D5CB8"/>
    <w:rsid w:val="008F1AF3"/>
    <w:rsid w:val="008F627A"/>
    <w:rsid w:val="00921E7C"/>
    <w:rsid w:val="00957D11"/>
    <w:rsid w:val="009E7129"/>
    <w:rsid w:val="00AD40FE"/>
    <w:rsid w:val="00B0559B"/>
    <w:rsid w:val="00B501C1"/>
    <w:rsid w:val="00B9062C"/>
    <w:rsid w:val="00BA2475"/>
    <w:rsid w:val="00BE6F8C"/>
    <w:rsid w:val="00BE7869"/>
    <w:rsid w:val="00C01070"/>
    <w:rsid w:val="00C32AD4"/>
    <w:rsid w:val="00C42C7C"/>
    <w:rsid w:val="00C43E0B"/>
    <w:rsid w:val="00C71790"/>
    <w:rsid w:val="00C9153A"/>
    <w:rsid w:val="00C96833"/>
    <w:rsid w:val="00D26EAD"/>
    <w:rsid w:val="00D630B5"/>
    <w:rsid w:val="00D71F33"/>
    <w:rsid w:val="00E03A62"/>
    <w:rsid w:val="00E74244"/>
    <w:rsid w:val="00E816C2"/>
    <w:rsid w:val="00EE206A"/>
    <w:rsid w:val="00F30540"/>
    <w:rsid w:val="00F52CFF"/>
    <w:rsid w:val="00FA4550"/>
    <w:rsid w:val="00FB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4B77"/>
  <w15:docId w15:val="{4C5B8B44-151B-4744-8ADC-FB7B23CB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0C1"/>
    <w:pPr>
      <w:spacing w:after="0" w:line="240" w:lineRule="auto"/>
    </w:pPr>
  </w:style>
  <w:style w:type="character" w:customStyle="1" w:styleId="A12">
    <w:name w:val="A12"/>
    <w:uiPriority w:val="99"/>
    <w:rsid w:val="00504587"/>
    <w:rPr>
      <w:rFonts w:cs="Utopia"/>
      <w:color w:val="211D1E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763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7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5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37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MStrategicCommunications.pr-optout.com/Tracking.aspx?Data=HHL%3d924%2f%3d%26JDG%3c%3b49.428%26SDG%3c90%3a.&amp;RE=IN&amp;RI=711784&amp;Preview=False&amp;DistributionActionID=27898&amp;Action=Follow+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MStrategicCommunications.pr-optout.com/Tracking.aspx?Data=HHL%3d924%2f%3d%26JDG%3c%3b49.428%26SDG%3c90%3a.&amp;RE=IN&amp;RI=711784&amp;Preview=False&amp;DistributionActionID=27899&amp;Action=Follow+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MStrategicCommunications.pr-optout.com/Tracking.aspx?Data=HHL%3d924%2f%3d%26JDG%3c%3b49.428%26SDG%3c90%3a.&amp;RE=IN&amp;RI=711784&amp;Preview=False&amp;DistributionActionID=27900&amp;Action=Follow+Lin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in@cmmstrategic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ebroehamm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5</cp:revision>
  <dcterms:created xsi:type="dcterms:W3CDTF">2020-01-07T00:35:00Z</dcterms:created>
  <dcterms:modified xsi:type="dcterms:W3CDTF">2020-01-09T18:31:00Z</dcterms:modified>
</cp:coreProperties>
</file>