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2A9F" w14:textId="5A16EFA5" w:rsidR="00024440" w:rsidRPr="00B0708C" w:rsidRDefault="00E0511B" w:rsidP="00024440">
      <w:pPr>
        <w:rPr>
          <w:rFonts w:ascii="Times New Roman" w:eastAsia="Times New Roman" w:hAnsi="Times New Roman"/>
        </w:rPr>
      </w:pPr>
      <w:r>
        <w:rPr>
          <w:rStyle w:val="Emphasis"/>
          <w:rFonts w:ascii="Times New Roman" w:eastAsia="Times New Roman" w:hAnsi="Times New Roman"/>
          <w:sz w:val="48"/>
          <w:szCs w:val="48"/>
          <w:u w:val="single"/>
        </w:rPr>
        <w:t>News Release</w:t>
      </w:r>
    </w:p>
    <w:p w14:paraId="52C2C684" w14:textId="77777777" w:rsidR="00024440" w:rsidRDefault="00024440" w:rsidP="00024440">
      <w:pPr>
        <w:pStyle w:val="NoSpacing"/>
        <w:rPr>
          <w:rFonts w:cs="Arial"/>
          <w:szCs w:val="24"/>
        </w:rPr>
      </w:pPr>
    </w:p>
    <w:p w14:paraId="6A08CC88" w14:textId="076542DD" w:rsidR="00024440" w:rsidRPr="00B0708C" w:rsidRDefault="00024440" w:rsidP="00024440">
      <w:pPr>
        <w:pStyle w:val="NoSpacing"/>
        <w:rPr>
          <w:rFonts w:cs="Arial"/>
          <w:szCs w:val="24"/>
        </w:rPr>
      </w:pPr>
      <w:r w:rsidRPr="00B0708C">
        <w:rPr>
          <w:rFonts w:cs="Arial"/>
          <w:szCs w:val="24"/>
        </w:rPr>
        <w:t>Gebroe-Hammer Associates</w:t>
      </w:r>
    </w:p>
    <w:p w14:paraId="6E9B7524" w14:textId="77777777" w:rsidR="00024440" w:rsidRPr="00B0708C" w:rsidRDefault="00024440" w:rsidP="00024440">
      <w:pPr>
        <w:pStyle w:val="NoSpacing"/>
        <w:rPr>
          <w:rFonts w:cs="Arial"/>
          <w:szCs w:val="24"/>
        </w:rPr>
      </w:pPr>
      <w:r w:rsidRPr="00B0708C">
        <w:rPr>
          <w:rFonts w:cs="Arial"/>
          <w:szCs w:val="24"/>
        </w:rPr>
        <w:t>2 West Northfield Road</w:t>
      </w:r>
    </w:p>
    <w:p w14:paraId="5CE9C9F5" w14:textId="77777777" w:rsidR="00024440" w:rsidRPr="00B0708C" w:rsidRDefault="00024440" w:rsidP="00024440">
      <w:pPr>
        <w:pStyle w:val="NoSpacing"/>
        <w:rPr>
          <w:rFonts w:cs="Arial"/>
          <w:szCs w:val="24"/>
        </w:rPr>
      </w:pPr>
      <w:r w:rsidRPr="00B0708C">
        <w:rPr>
          <w:rFonts w:cs="Arial"/>
          <w:szCs w:val="24"/>
        </w:rPr>
        <w:t>Livingston, NJ 07039</w:t>
      </w:r>
    </w:p>
    <w:p w14:paraId="01A9922C" w14:textId="4B0E8731" w:rsidR="00303F70" w:rsidRPr="00024440" w:rsidRDefault="00024440" w:rsidP="00024440">
      <w:pPr>
        <w:pStyle w:val="NormalWeb"/>
      </w:pPr>
      <w:r>
        <w:rPr>
          <w:rFonts w:ascii="Arial" w:hAnsi="Arial" w:cs="Arial"/>
          <w:sz w:val="24"/>
          <w:szCs w:val="24"/>
        </w:rPr>
        <w:t xml:space="preserve">Contact: </w:t>
      </w:r>
      <w:r>
        <w:rPr>
          <w:sz w:val="24"/>
          <w:szCs w:val="24"/>
        </w:rPr>
        <w:t> </w:t>
      </w:r>
      <w:r>
        <w:rPr>
          <w:rFonts w:ascii="Arial" w:hAnsi="Arial" w:cs="Arial"/>
          <w:sz w:val="24"/>
          <w:szCs w:val="24"/>
        </w:rPr>
        <w:t xml:space="preserve">Carin McDonald / </w:t>
      </w:r>
      <w:hyperlink r:id="rId4" w:history="1">
        <w:r>
          <w:rPr>
            <w:rStyle w:val="Hyperlink"/>
            <w:rFonts w:ascii="Arial" w:hAnsi="Arial" w:cs="Arial"/>
            <w:sz w:val="24"/>
            <w:szCs w:val="24"/>
          </w:rPr>
          <w:t>carin@cmmstrategic.com</w:t>
        </w:r>
      </w:hyperlink>
      <w:r>
        <w:rPr>
          <w:rFonts w:ascii="Arial" w:hAnsi="Arial" w:cs="Arial"/>
          <w:sz w:val="24"/>
          <w:szCs w:val="24"/>
        </w:rPr>
        <w:t xml:space="preserve"> / 973.513.9580</w:t>
      </w:r>
    </w:p>
    <w:p w14:paraId="5EB0A063" w14:textId="5A65B845" w:rsidR="00024440" w:rsidRDefault="00024440" w:rsidP="002641EC">
      <w:pPr>
        <w:pStyle w:val="NoSpacing"/>
        <w:rPr>
          <w:b/>
          <w:bCs/>
        </w:rPr>
      </w:pPr>
      <w:r>
        <w:rPr>
          <w:b/>
          <w:bCs/>
        </w:rPr>
        <w:t>Reynolds Terrace Apartments in Orange, NJ sells for $16.65M in Transaction arranged by Gebroe-Hammer Associates</w:t>
      </w:r>
    </w:p>
    <w:p w14:paraId="32A1AD4A" w14:textId="4A0DDBDA" w:rsidR="00BA1A7F" w:rsidRPr="00024440" w:rsidRDefault="00024440" w:rsidP="002641EC">
      <w:pPr>
        <w:pStyle w:val="NoSpacing"/>
        <w:rPr>
          <w:i/>
          <w:iCs/>
        </w:rPr>
      </w:pPr>
      <w:r w:rsidRPr="00024440">
        <w:rPr>
          <w:i/>
          <w:iCs/>
        </w:rPr>
        <w:t>Firm</w:t>
      </w:r>
      <w:r>
        <w:rPr>
          <w:i/>
          <w:iCs/>
        </w:rPr>
        <w:t xml:space="preserve">’s latest </w:t>
      </w:r>
      <w:r w:rsidRPr="00024440">
        <w:rPr>
          <w:i/>
          <w:iCs/>
        </w:rPr>
        <w:t>East Essex County trades involv</w:t>
      </w:r>
      <w:r>
        <w:rPr>
          <w:i/>
          <w:iCs/>
        </w:rPr>
        <w:t>e</w:t>
      </w:r>
      <w:r w:rsidRPr="00024440">
        <w:rPr>
          <w:i/>
          <w:iCs/>
        </w:rPr>
        <w:t xml:space="preserve"> 1,300+ units </w:t>
      </w:r>
    </w:p>
    <w:p w14:paraId="0ABC445C" w14:textId="77777777" w:rsidR="00024440" w:rsidRDefault="00024440" w:rsidP="002641EC">
      <w:pPr>
        <w:pStyle w:val="NoSpacing"/>
        <w:rPr>
          <w:b/>
          <w:bCs/>
        </w:rPr>
      </w:pPr>
    </w:p>
    <w:p w14:paraId="4A621B29" w14:textId="377205A0" w:rsidR="006C4B01" w:rsidRDefault="009C3750" w:rsidP="002641EC">
      <w:pPr>
        <w:pStyle w:val="NoSpacing"/>
      </w:pPr>
      <w:r w:rsidRPr="00EE0240">
        <w:rPr>
          <w:b/>
          <w:bCs/>
        </w:rPr>
        <w:t>Orange, N.J., October</w:t>
      </w:r>
      <w:r w:rsidR="00E0511B">
        <w:rPr>
          <w:b/>
          <w:bCs/>
        </w:rPr>
        <w:t xml:space="preserve"> 2</w:t>
      </w:r>
      <w:r w:rsidRPr="00EE0240">
        <w:rPr>
          <w:b/>
          <w:bCs/>
        </w:rPr>
        <w:t>, 2019</w:t>
      </w:r>
      <w:r>
        <w:t xml:space="preserve"> – </w:t>
      </w:r>
      <w:r w:rsidR="002641EC">
        <w:t>In the North Jersey Metro’s high-population and high-building-density pocket of East Essex County</w:t>
      </w:r>
      <w:r w:rsidR="00563069">
        <w:t>,</w:t>
      </w:r>
      <w:r w:rsidR="00B1747E">
        <w:t xml:space="preserve"> </w:t>
      </w:r>
      <w:hyperlink r:id="rId5" w:history="1">
        <w:proofErr w:type="spellStart"/>
        <w:r w:rsidR="002641EC" w:rsidRPr="00CD5262">
          <w:rPr>
            <w:rStyle w:val="Hyperlink"/>
          </w:rPr>
          <w:t>Gebroe</w:t>
        </w:r>
        <w:proofErr w:type="spellEnd"/>
        <w:r w:rsidR="002641EC" w:rsidRPr="00CD5262">
          <w:rPr>
            <w:rStyle w:val="Hyperlink"/>
          </w:rPr>
          <w:t>-Hammer Associates</w:t>
        </w:r>
      </w:hyperlink>
      <w:bookmarkStart w:id="0" w:name="_GoBack"/>
      <w:bookmarkEnd w:id="0"/>
      <w:r w:rsidR="006C4B01">
        <w:t xml:space="preserve"> has arranged the $16.65 million sale of Reynolds Terrace Apartments, </w:t>
      </w:r>
      <w:r w:rsidR="00B1747E">
        <w:t>a nine-story midrise comprised of</w:t>
      </w:r>
      <w:r w:rsidR="006C4B01">
        <w:t xml:space="preserve"> 120 </w:t>
      </w:r>
      <w:r w:rsidR="00B1747E">
        <w:t>apartment units</w:t>
      </w:r>
      <w:r w:rsidR="006C4B01">
        <w:t xml:space="preserve"> at 248 Reynolds Terr. in the City of Orange, N.J. </w:t>
      </w:r>
      <w:r w:rsidR="00B1747E">
        <w:t xml:space="preserve">The firm’s Senior Vice President Stephen Tragash and Executive Managing Director David Oropeza </w:t>
      </w:r>
      <w:r w:rsidR="006C4B01">
        <w:t xml:space="preserve">exclusively represented the seller, </w:t>
      </w:r>
      <w:r w:rsidR="00B1747E">
        <w:t>248 Reynolds Terrace, LLC,</w:t>
      </w:r>
      <w:r w:rsidR="006C4B01">
        <w:t xml:space="preserve"> and procured the buyer,</w:t>
      </w:r>
      <w:r w:rsidR="00B1747E">
        <w:t xml:space="preserve"> a private investor</w:t>
      </w:r>
      <w:r w:rsidR="006C4B01">
        <w:t>.</w:t>
      </w:r>
    </w:p>
    <w:p w14:paraId="3E828268" w14:textId="60E74EE7" w:rsidR="006C4B01" w:rsidRDefault="006C4B01" w:rsidP="002641EC">
      <w:pPr>
        <w:pStyle w:val="NoSpacing"/>
      </w:pPr>
    </w:p>
    <w:p w14:paraId="24CAE3DD" w14:textId="0B91C780" w:rsidR="00B1747E" w:rsidRDefault="00B1747E" w:rsidP="002641EC">
      <w:pPr>
        <w:pStyle w:val="NoSpacing"/>
      </w:pPr>
      <w:r>
        <w:t xml:space="preserve">“Featuring a mix of studio and one- and two-bedroom layouts within a tree-lined residential neighborhood, Reynolds Terrace Apartments is a prime example of what today’s investors are seeking throughout the East Essex Region – a quick walk to </w:t>
      </w:r>
      <w:r w:rsidR="00754388">
        <w:t xml:space="preserve">mass transit, proximity to blue-chip employers and accessible neighborhood conveniences,” said Tragash. “Properties of this size and caliber will benefit </w:t>
      </w:r>
      <w:r w:rsidR="004B5013">
        <w:t xml:space="preserve">from long-term value appreciation associated with favorable demographic patterns forecasted for the next 5 – 10+ years.” </w:t>
      </w:r>
    </w:p>
    <w:p w14:paraId="729F42EE" w14:textId="62D78A19" w:rsidR="004B5013" w:rsidRDefault="004B5013" w:rsidP="002641EC">
      <w:pPr>
        <w:pStyle w:val="NoSpacing"/>
      </w:pPr>
    </w:p>
    <w:p w14:paraId="6FAC9ECB" w14:textId="7FC91689" w:rsidR="00B21C1A" w:rsidRDefault="004B5013" w:rsidP="002641EC">
      <w:pPr>
        <w:pStyle w:val="NoSpacing"/>
      </w:pPr>
      <w:r>
        <w:t xml:space="preserve">In addition to the sale of Reynolds Terrace Apartments, Gebroe-Hammer’s market specialists recently </w:t>
      </w:r>
      <w:r w:rsidR="009C3750">
        <w:t>closed</w:t>
      </w:r>
      <w:r>
        <w:t xml:space="preserve"> </w:t>
      </w:r>
      <w:r w:rsidR="006F3582">
        <w:t>three</w:t>
      </w:r>
      <w:r w:rsidR="009C3750">
        <w:t xml:space="preserve"> </w:t>
      </w:r>
      <w:r>
        <w:t>additional multi-family property sales</w:t>
      </w:r>
      <w:r w:rsidR="009C3750">
        <w:t xml:space="preserve"> </w:t>
      </w:r>
      <w:r>
        <w:t xml:space="preserve">in nearby </w:t>
      </w:r>
      <w:r w:rsidR="009C3750">
        <w:t>East Orange and Newark</w:t>
      </w:r>
      <w:r>
        <w:t xml:space="preserve">. In total, the Livingston, N.J.-based firm has arranged </w:t>
      </w:r>
      <w:r w:rsidR="006F3582">
        <w:t>s</w:t>
      </w:r>
      <w:r>
        <w:t xml:space="preserve">even </w:t>
      </w:r>
      <w:r w:rsidR="006F3582">
        <w:t xml:space="preserve">transactions </w:t>
      </w:r>
      <w:r w:rsidR="00B21C1A">
        <w:t>involving over 1,</w:t>
      </w:r>
      <w:r>
        <w:t>30</w:t>
      </w:r>
      <w:r w:rsidR="00B21C1A">
        <w:t xml:space="preserve">0 units in </w:t>
      </w:r>
      <w:r w:rsidR="006F3582">
        <w:t xml:space="preserve">eight weeks </w:t>
      </w:r>
      <w:r>
        <w:t>throughout the East Essex submarket</w:t>
      </w:r>
      <w:r w:rsidR="00563069">
        <w:t xml:space="preserve">, which includes The Oranges and Newark as well as </w:t>
      </w:r>
      <w:r w:rsidR="000A58D4">
        <w:t>Irvington, Bloomfield, Nutley</w:t>
      </w:r>
      <w:r w:rsidR="00E0511B">
        <w:t xml:space="preserve"> </w:t>
      </w:r>
      <w:r w:rsidR="001B3CEC" w:rsidRPr="00E0511B">
        <w:t>and</w:t>
      </w:r>
      <w:r w:rsidR="001B3CEC">
        <w:t xml:space="preserve"> </w:t>
      </w:r>
      <w:r w:rsidR="000A58D4">
        <w:t>Belleville</w:t>
      </w:r>
      <w:r w:rsidR="00E0511B">
        <w:t>.</w:t>
      </w:r>
    </w:p>
    <w:p w14:paraId="0F3C8825" w14:textId="203FB4DB" w:rsidR="006F3582" w:rsidRDefault="006F3582" w:rsidP="002641EC">
      <w:pPr>
        <w:pStyle w:val="NoSpacing"/>
      </w:pPr>
    </w:p>
    <w:p w14:paraId="1C02A179" w14:textId="6EA5596D" w:rsidR="00303F70" w:rsidRDefault="000A58D4" w:rsidP="002641EC">
      <w:pPr>
        <w:pStyle w:val="NoSpacing"/>
      </w:pPr>
      <w:r>
        <w:t>Recent sales highlights</w:t>
      </w:r>
      <w:r w:rsidR="004B5013">
        <w:t xml:space="preserve"> </w:t>
      </w:r>
      <w:r w:rsidR="006F3582">
        <w:t xml:space="preserve">include 35 units at 130 Chancellor Ave. ($3.15M) and 23 units ($2.675M) in </w:t>
      </w:r>
      <w:r w:rsidR="00BA1A7F">
        <w:t xml:space="preserve">the North Broadway section of </w:t>
      </w:r>
      <w:r w:rsidR="006F3582">
        <w:t>Newark</w:t>
      </w:r>
      <w:r w:rsidR="00E0511B">
        <w:t>,</w:t>
      </w:r>
      <w:r w:rsidR="006F3582">
        <w:t xml:space="preserve"> as well as a two-property package at 38 S. Walnut St.($2.6M) and 12 units at 66 Lenox Ave. ($1.7M/$141,667 per unit) in East Orange. Oropeza</w:t>
      </w:r>
      <w:r w:rsidR="004B5013">
        <w:t>, Tragash</w:t>
      </w:r>
      <w:r w:rsidR="006F3582">
        <w:t xml:space="preserve"> and Senior Vice President David Jarvis represented</w:t>
      </w:r>
      <w:r w:rsidR="004B5013">
        <w:t xml:space="preserve"> </w:t>
      </w:r>
      <w:r w:rsidR="006F3582">
        <w:t xml:space="preserve">the </w:t>
      </w:r>
      <w:r w:rsidR="004B5013">
        <w:t>seller</w:t>
      </w:r>
      <w:r w:rsidR="006F3582">
        <w:t xml:space="preserve"> and procured the buyer </w:t>
      </w:r>
      <w:r w:rsidR="00563069">
        <w:t>of</w:t>
      </w:r>
      <w:r w:rsidR="004B5013">
        <w:t xml:space="preserve"> the</w:t>
      </w:r>
      <w:r w:rsidR="006F3582">
        <w:t xml:space="preserve"> Chancellor Avenue</w:t>
      </w:r>
      <w:r w:rsidR="004B5013">
        <w:t xml:space="preserve"> property</w:t>
      </w:r>
      <w:r>
        <w:t xml:space="preserve"> while</w:t>
      </w:r>
      <w:r w:rsidR="00303F70">
        <w:t xml:space="preserve"> </w:t>
      </w:r>
      <w:r w:rsidR="006F3582">
        <w:t>Jarvi</w:t>
      </w:r>
      <w:r w:rsidR="00303F70">
        <w:t xml:space="preserve">s orchestrated the </w:t>
      </w:r>
      <w:r w:rsidR="00BA1A7F">
        <w:t xml:space="preserve">North Broadway </w:t>
      </w:r>
      <w:r w:rsidR="00303F70">
        <w:t xml:space="preserve">transaction </w:t>
      </w:r>
      <w:r>
        <w:t>and</w:t>
      </w:r>
      <w:r w:rsidR="00303F70">
        <w:t xml:space="preserve"> Oropeza arranged the East Orange trades. </w:t>
      </w:r>
    </w:p>
    <w:p w14:paraId="18DEC6D9" w14:textId="77777777" w:rsidR="00303F70" w:rsidRDefault="00303F70" w:rsidP="002641EC">
      <w:pPr>
        <w:pStyle w:val="NoSpacing"/>
      </w:pPr>
    </w:p>
    <w:p w14:paraId="0B103AB5" w14:textId="024C4D98" w:rsidR="00303F70" w:rsidRDefault="00303F70" w:rsidP="00303F70">
      <w:pPr>
        <w:pStyle w:val="NoSpacing"/>
      </w:pPr>
      <w:r>
        <w:t>“</w:t>
      </w:r>
      <w:r>
        <w:rPr>
          <w:rFonts w:cs="Arial"/>
          <w:szCs w:val="24"/>
        </w:rPr>
        <w:t>In just the past decade, East Essex has evolved from its urban industrial roots to become a</w:t>
      </w:r>
      <w:r w:rsidRPr="00431D3A">
        <w:rPr>
          <w:rFonts w:cs="Arial"/>
          <w:szCs w:val="24"/>
        </w:rPr>
        <w:t xml:space="preserve"> popular residential, business and tourist destination favored by millennial and </w:t>
      </w:r>
      <w:r w:rsidRPr="00431D3A">
        <w:rPr>
          <w:rFonts w:cs="Arial"/>
          <w:szCs w:val="24"/>
        </w:rPr>
        <w:lastRenderedPageBreak/>
        <w:t xml:space="preserve">executive-level </w:t>
      </w:r>
      <w:r>
        <w:rPr>
          <w:rFonts w:cs="Arial"/>
          <w:szCs w:val="24"/>
        </w:rPr>
        <w:t xml:space="preserve">professionals </w:t>
      </w:r>
      <w:r w:rsidR="004B5013">
        <w:rPr>
          <w:rFonts w:cs="Arial"/>
          <w:szCs w:val="24"/>
        </w:rPr>
        <w:t>working</w:t>
      </w:r>
      <w:r>
        <w:rPr>
          <w:rFonts w:cs="Arial"/>
          <w:szCs w:val="24"/>
        </w:rPr>
        <w:t xml:space="preserve"> locally or out-</w:t>
      </w:r>
      <w:r w:rsidRPr="00431D3A">
        <w:rPr>
          <w:rFonts w:cs="Arial"/>
          <w:szCs w:val="24"/>
        </w:rPr>
        <w:t>commut</w:t>
      </w:r>
      <w:r w:rsidR="000A58D4">
        <w:rPr>
          <w:rFonts w:cs="Arial"/>
          <w:szCs w:val="24"/>
        </w:rPr>
        <w:t>ing t</w:t>
      </w:r>
      <w:r w:rsidRPr="00431D3A">
        <w:rPr>
          <w:rFonts w:cs="Arial"/>
          <w:szCs w:val="24"/>
        </w:rPr>
        <w:t xml:space="preserve">o </w:t>
      </w:r>
      <w:r>
        <w:rPr>
          <w:rFonts w:cs="Arial"/>
          <w:szCs w:val="24"/>
        </w:rPr>
        <w:t xml:space="preserve">New York City,” explained Oropeza, who has been the firm’s urban-core market specialist since starting his brokerage career with Gebroe-Hammer </w:t>
      </w:r>
      <w:r w:rsidR="00563069">
        <w:rPr>
          <w:rFonts w:cs="Arial"/>
          <w:szCs w:val="24"/>
        </w:rPr>
        <w:t xml:space="preserve">33 </w:t>
      </w:r>
      <w:r>
        <w:rPr>
          <w:rFonts w:cs="Arial"/>
          <w:szCs w:val="24"/>
        </w:rPr>
        <w:t xml:space="preserve">years ago. “The </w:t>
      </w:r>
      <w:r>
        <w:t xml:space="preserve">region has led – and continues to lead – the state in the rebuilding and rehabilitation of its existing housing stock. </w:t>
      </w:r>
      <w:r w:rsidR="00102F08">
        <w:t xml:space="preserve">Demand is at all-time high levels for </w:t>
      </w:r>
      <w:r>
        <w:t>repositioning</w:t>
      </w:r>
      <w:r w:rsidR="00102F08">
        <w:t xml:space="preserve"> opportunities</w:t>
      </w:r>
      <w:r>
        <w:t xml:space="preserve"> </w:t>
      </w:r>
      <w:r w:rsidR="00102F08">
        <w:t>involving</w:t>
      </w:r>
      <w:r>
        <w:t xml:space="preserve"> well-established, pre-1960s-era multi-family buildings within ‘urbanesque’ submarkets undergoing an architectural and population transformation.”</w:t>
      </w:r>
    </w:p>
    <w:p w14:paraId="51D0C138" w14:textId="77777777" w:rsidR="00303F70" w:rsidRDefault="00303F70" w:rsidP="00303F70">
      <w:pPr>
        <w:pStyle w:val="NoSpacing"/>
      </w:pPr>
    </w:p>
    <w:p w14:paraId="0E5EDD88" w14:textId="28F3DB3E" w:rsidR="00303F70" w:rsidRDefault="00303F70" w:rsidP="00303F70">
      <w:pPr>
        <w:pStyle w:val="NoSpacing"/>
      </w:pPr>
      <w:r>
        <w:rPr>
          <w:rFonts w:cs="Arial"/>
          <w:szCs w:val="24"/>
        </w:rPr>
        <w:t xml:space="preserve">In addition to sweeping revitalization initiatives that </w:t>
      </w:r>
      <w:r w:rsidR="0063332D">
        <w:rPr>
          <w:rFonts w:cs="Arial"/>
          <w:szCs w:val="24"/>
        </w:rPr>
        <w:t xml:space="preserve">generate </w:t>
      </w:r>
      <w:r>
        <w:rPr>
          <w:rFonts w:cs="Arial"/>
          <w:szCs w:val="24"/>
        </w:rPr>
        <w:t>value-add and development opportunities, investors are drawn to East Essex’s transit</w:t>
      </w:r>
      <w:r w:rsidR="0063332D">
        <w:rPr>
          <w:rFonts w:cs="Arial"/>
          <w:szCs w:val="24"/>
        </w:rPr>
        <w:t xml:space="preserve"> infrastructure </w:t>
      </w:r>
      <w:r>
        <w:rPr>
          <w:rFonts w:cs="Arial"/>
          <w:szCs w:val="24"/>
        </w:rPr>
        <w:t xml:space="preserve"> </w:t>
      </w:r>
      <w:r>
        <w:t xml:space="preserve"> </w:t>
      </w:r>
      <w:r w:rsidR="0063332D">
        <w:t xml:space="preserve">and proximity to Manhattan, less than 10 miles away. </w:t>
      </w:r>
      <w:r>
        <w:t>In total, the county has</w:t>
      </w:r>
      <w:r w:rsidR="0063332D">
        <w:t xml:space="preserve"> three </w:t>
      </w:r>
      <w:r>
        <w:t>primary interstates – I-95, 78 and 80 – and one auxiliary – I-280</w:t>
      </w:r>
      <w:r w:rsidR="0063332D">
        <w:t>. It also</w:t>
      </w:r>
      <w:r>
        <w:t xml:space="preserve"> has four U.S. Routes, including 1 &amp; 9, Truck Route 1 &amp; 9, 22 and 46.</w:t>
      </w:r>
      <w:r w:rsidR="0063332D">
        <w:t xml:space="preserve"> </w:t>
      </w:r>
      <w:r>
        <w:t>Perhaps East Essex’s most important state road is the Garden State Parkway</w:t>
      </w:r>
      <w:r w:rsidR="0063332D">
        <w:t xml:space="preserve">. </w:t>
      </w:r>
      <w:r>
        <w:t xml:space="preserve">Rounding out </w:t>
      </w:r>
      <w:r w:rsidR="0063332D">
        <w:t>East Essex</w:t>
      </w:r>
      <w:r>
        <w:t>’s transit options is a far-reaching NJ Transit commuter rail, light rail and bus-route network.</w:t>
      </w:r>
    </w:p>
    <w:p w14:paraId="366DD0BF" w14:textId="2DEDFA04" w:rsidR="00102F08" w:rsidRDefault="00102F08" w:rsidP="00303F70">
      <w:pPr>
        <w:pStyle w:val="NoSpacing"/>
      </w:pPr>
    </w:p>
    <w:p w14:paraId="3C89016F" w14:textId="6ACEE34E" w:rsidR="00102F08" w:rsidRPr="00B0708C" w:rsidRDefault="00102F08" w:rsidP="00102F08">
      <w:pPr>
        <w:pStyle w:val="NoSpacing"/>
        <w:rPr>
          <w:rFonts w:cs="Arial"/>
          <w:szCs w:val="24"/>
        </w:rPr>
      </w:pPr>
      <w:r w:rsidRPr="00B0708C">
        <w:rPr>
          <w:rFonts w:cs="Arial"/>
          <w:szCs w:val="24"/>
        </w:rPr>
        <w:t>With a focus on urban mid- and high-rise</w:t>
      </w:r>
      <w:r w:rsidR="00024440">
        <w:rPr>
          <w:rFonts w:cs="Arial"/>
          <w:szCs w:val="24"/>
        </w:rPr>
        <w:t xml:space="preserve">s as well as </w:t>
      </w:r>
      <w:r w:rsidR="00024440" w:rsidRPr="00B0708C">
        <w:rPr>
          <w:rFonts w:cs="Arial"/>
          <w:szCs w:val="24"/>
        </w:rPr>
        <w:t>suburban garden-apartment</w:t>
      </w:r>
      <w:r w:rsidR="00024440">
        <w:rPr>
          <w:rFonts w:cs="Arial"/>
          <w:szCs w:val="24"/>
        </w:rPr>
        <w:t xml:space="preserve"> properties</w:t>
      </w:r>
      <w:r w:rsidRPr="00B0708C">
        <w:rPr>
          <w:rFonts w:cs="Arial"/>
          <w:szCs w:val="24"/>
        </w:rPr>
        <w:t>, Gebroe-Hammer’s geographic areas of concentration are centered in New Jersey and extend to southeast Pennsylvania and southern New York State. The firm is widely recognized for its consistent sales performance and is a 15-time CoStar Power Broker as well as the only Northeast firm named a Multi-Family Influencer for 2018. Other achievements include arranging the largest Mid-Atlantic region multi-family sale (2018); one of the nation’s top-25 single multi-family asset sales (2017); and being named among the nation’s top-25 multi-family brokers (2017).</w:t>
      </w:r>
    </w:p>
    <w:p w14:paraId="336CAA52" w14:textId="77777777" w:rsidR="00024440" w:rsidRDefault="00024440" w:rsidP="00102F08">
      <w:pPr>
        <w:pStyle w:val="NoSpacing"/>
        <w:jc w:val="center"/>
        <w:rPr>
          <w:rFonts w:cs="Arial"/>
          <w:szCs w:val="24"/>
        </w:rPr>
      </w:pPr>
    </w:p>
    <w:p w14:paraId="6F08D723" w14:textId="5E8F1D87" w:rsidR="00102F08" w:rsidRPr="00B0708C" w:rsidRDefault="00102F08" w:rsidP="00102F08">
      <w:pPr>
        <w:pStyle w:val="NoSpacing"/>
        <w:jc w:val="center"/>
        <w:rPr>
          <w:rFonts w:cs="Arial"/>
          <w:szCs w:val="24"/>
        </w:rPr>
      </w:pPr>
      <w:r w:rsidRPr="00B0708C">
        <w:rPr>
          <w:rFonts w:cs="Arial"/>
          <w:szCs w:val="24"/>
        </w:rPr>
        <w:t>###</w:t>
      </w:r>
    </w:p>
    <w:p w14:paraId="4132556C" w14:textId="77777777" w:rsidR="00102F08" w:rsidRPr="00B0708C" w:rsidRDefault="00102F08" w:rsidP="00102F08">
      <w:pPr>
        <w:pStyle w:val="NoSpacing"/>
        <w:rPr>
          <w:rFonts w:cs="Arial"/>
          <w:szCs w:val="24"/>
        </w:rPr>
      </w:pPr>
    </w:p>
    <w:p w14:paraId="1D9D41FF" w14:textId="77777777" w:rsidR="00102F08" w:rsidRDefault="00102F08" w:rsidP="00303F70">
      <w:pPr>
        <w:pStyle w:val="NoSpacing"/>
      </w:pPr>
    </w:p>
    <w:p w14:paraId="7C9C8E23" w14:textId="23A94AA5" w:rsidR="00303F70" w:rsidRPr="00431D3A" w:rsidRDefault="00303F70" w:rsidP="00303F70">
      <w:pPr>
        <w:pStyle w:val="NoSpacing"/>
        <w:rPr>
          <w:rFonts w:cs="Arial"/>
          <w:szCs w:val="24"/>
        </w:rPr>
      </w:pPr>
      <w:r>
        <w:rPr>
          <w:rFonts w:cs="Arial"/>
          <w:szCs w:val="24"/>
        </w:rPr>
        <w:t xml:space="preserve"> </w:t>
      </w:r>
    </w:p>
    <w:p w14:paraId="4709FEFD" w14:textId="4C65E8B0" w:rsidR="006F3582" w:rsidRDefault="006F3582" w:rsidP="002641EC">
      <w:pPr>
        <w:pStyle w:val="NoSpacing"/>
      </w:pPr>
      <w:r>
        <w:t xml:space="preserve"> </w:t>
      </w:r>
    </w:p>
    <w:p w14:paraId="6A3B694D" w14:textId="77777777" w:rsidR="00B21C1A" w:rsidRDefault="00B21C1A" w:rsidP="002641EC">
      <w:pPr>
        <w:pStyle w:val="NoSpacing"/>
      </w:pPr>
    </w:p>
    <w:p w14:paraId="22DF9E35" w14:textId="4C54BF4A" w:rsidR="009C3750" w:rsidRDefault="009C3750" w:rsidP="002641EC">
      <w:pPr>
        <w:pStyle w:val="NoSpacing"/>
      </w:pPr>
      <w:r>
        <w:t xml:space="preserve"> </w:t>
      </w:r>
    </w:p>
    <w:p w14:paraId="7D4FB5EE" w14:textId="125764B5" w:rsidR="00EE0240" w:rsidRDefault="00EE0240" w:rsidP="002641EC">
      <w:pPr>
        <w:pStyle w:val="NoSpacing"/>
      </w:pPr>
    </w:p>
    <w:p w14:paraId="3DBF413B" w14:textId="77777777" w:rsidR="00B21C1A" w:rsidRDefault="00B21C1A" w:rsidP="002641EC">
      <w:pPr>
        <w:pStyle w:val="NoSpacing"/>
      </w:pPr>
    </w:p>
    <w:p w14:paraId="7AEA5A3A" w14:textId="77777777" w:rsidR="00EE0240" w:rsidRDefault="00EE0240" w:rsidP="002641EC">
      <w:pPr>
        <w:pStyle w:val="NoSpacing"/>
      </w:pPr>
    </w:p>
    <w:p w14:paraId="5D9B3535" w14:textId="77777777" w:rsidR="009C3750" w:rsidRDefault="009C3750" w:rsidP="002641EC">
      <w:pPr>
        <w:pStyle w:val="NoSpacing"/>
      </w:pPr>
    </w:p>
    <w:p w14:paraId="0C847EB7" w14:textId="77C50D46" w:rsidR="006F3177" w:rsidRDefault="002641EC" w:rsidP="002641EC">
      <w:pPr>
        <w:pStyle w:val="NoSpacing"/>
      </w:pPr>
      <w:r>
        <w:t xml:space="preserve">     </w:t>
      </w:r>
    </w:p>
    <w:sectPr w:rsidR="006F3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EC"/>
    <w:rsid w:val="00024440"/>
    <w:rsid w:val="000A58D4"/>
    <w:rsid w:val="00102F08"/>
    <w:rsid w:val="001B3CEC"/>
    <w:rsid w:val="002641EC"/>
    <w:rsid w:val="00303F70"/>
    <w:rsid w:val="004B5013"/>
    <w:rsid w:val="00563069"/>
    <w:rsid w:val="0063332D"/>
    <w:rsid w:val="006B619F"/>
    <w:rsid w:val="006C4B01"/>
    <w:rsid w:val="006F3177"/>
    <w:rsid w:val="006F3582"/>
    <w:rsid w:val="00754388"/>
    <w:rsid w:val="009C3750"/>
    <w:rsid w:val="00B1747E"/>
    <w:rsid w:val="00B21C1A"/>
    <w:rsid w:val="00BA1A7F"/>
    <w:rsid w:val="00CD5262"/>
    <w:rsid w:val="00E0511B"/>
    <w:rsid w:val="00EE0240"/>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0135"/>
  <w15:chartTrackingRefBased/>
  <w15:docId w15:val="{121195E9-DAEF-4631-AEC6-FE9EEC98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B01"/>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1EC"/>
    <w:pPr>
      <w:spacing w:after="0" w:line="240" w:lineRule="auto"/>
    </w:pPr>
  </w:style>
  <w:style w:type="character" w:customStyle="1" w:styleId="mw-headline">
    <w:name w:val="mw-headline"/>
    <w:basedOn w:val="DefaultParagraphFont"/>
    <w:rsid w:val="00303F70"/>
  </w:style>
  <w:style w:type="character" w:styleId="Hyperlink">
    <w:name w:val="Hyperlink"/>
    <w:uiPriority w:val="99"/>
    <w:unhideWhenUsed/>
    <w:rsid w:val="00024440"/>
    <w:rPr>
      <w:color w:val="0000FF"/>
      <w:u w:val="single"/>
    </w:rPr>
  </w:style>
  <w:style w:type="paragraph" w:styleId="NormalWeb">
    <w:name w:val="Normal (Web)"/>
    <w:basedOn w:val="Normal"/>
    <w:uiPriority w:val="99"/>
    <w:unhideWhenUsed/>
    <w:rsid w:val="00024440"/>
    <w:pPr>
      <w:spacing w:before="100" w:beforeAutospacing="1" w:after="100" w:afterAutospacing="1"/>
    </w:pPr>
    <w:rPr>
      <w:rFonts w:eastAsia="Calibri"/>
    </w:rPr>
  </w:style>
  <w:style w:type="character" w:styleId="Emphasis">
    <w:name w:val="Emphasis"/>
    <w:uiPriority w:val="20"/>
    <w:qFormat/>
    <w:rsid w:val="00024440"/>
    <w:rPr>
      <w:i/>
      <w:iCs/>
    </w:rPr>
  </w:style>
  <w:style w:type="character" w:styleId="UnresolvedMention">
    <w:name w:val="Unresolved Mention"/>
    <w:basedOn w:val="DefaultParagraphFont"/>
    <w:uiPriority w:val="99"/>
    <w:semiHidden/>
    <w:unhideWhenUsed/>
    <w:rsid w:val="00CD5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84500">
      <w:bodyDiv w:val="1"/>
      <w:marLeft w:val="0"/>
      <w:marRight w:val="0"/>
      <w:marTop w:val="0"/>
      <w:marBottom w:val="0"/>
      <w:divBdr>
        <w:top w:val="none" w:sz="0" w:space="0" w:color="auto"/>
        <w:left w:val="none" w:sz="0" w:space="0" w:color="auto"/>
        <w:bottom w:val="none" w:sz="0" w:space="0" w:color="auto"/>
        <w:right w:val="none" w:sz="0" w:space="0" w:color="auto"/>
      </w:divBdr>
    </w:div>
    <w:div w:id="18233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2019-09-28T16:15:00Z</dcterms:created>
  <dcterms:modified xsi:type="dcterms:W3CDTF">2019-09-28T16:16:00Z</dcterms:modified>
</cp:coreProperties>
</file>