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B9" w:rsidRPr="0035408F" w:rsidRDefault="0035408F" w:rsidP="006E6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52"/>
          <w:szCs w:val="52"/>
          <w:u w:val="single"/>
        </w:rPr>
      </w:pPr>
      <w:r w:rsidRPr="0035408F">
        <w:rPr>
          <w:rFonts w:ascii="Times New Roman" w:hAnsi="Times New Roman" w:cs="Times New Roman"/>
          <w:bCs/>
          <w:i/>
          <w:color w:val="000000"/>
          <w:sz w:val="52"/>
          <w:szCs w:val="52"/>
          <w:u w:val="single"/>
        </w:rPr>
        <w:t>News Release</w:t>
      </w:r>
    </w:p>
    <w:p w:rsid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35B3" w:rsidRPr="003C1AA8" w:rsidRDefault="005D35B3" w:rsidP="005D35B3">
      <w:pPr>
        <w:pStyle w:val="NoSpacing"/>
        <w:rPr>
          <w:rFonts w:ascii="Arial" w:hAnsi="Arial" w:cs="Arial"/>
          <w:sz w:val="24"/>
          <w:szCs w:val="24"/>
        </w:rPr>
      </w:pPr>
      <w:r w:rsidRPr="003C1AA8">
        <w:rPr>
          <w:rFonts w:ascii="Arial" w:hAnsi="Arial" w:cs="Arial"/>
          <w:sz w:val="24"/>
          <w:szCs w:val="24"/>
        </w:rPr>
        <w:t>Gebroe-Hammer Associates</w:t>
      </w:r>
    </w:p>
    <w:p w:rsidR="005D35B3" w:rsidRPr="003C1AA8" w:rsidRDefault="005D35B3" w:rsidP="005D35B3">
      <w:pPr>
        <w:pStyle w:val="NoSpacing"/>
        <w:rPr>
          <w:rFonts w:ascii="Arial" w:hAnsi="Arial" w:cs="Arial"/>
          <w:bCs/>
          <w:sz w:val="24"/>
          <w:szCs w:val="24"/>
        </w:rPr>
      </w:pPr>
      <w:r w:rsidRPr="003C1AA8">
        <w:rPr>
          <w:rFonts w:ascii="Arial" w:hAnsi="Arial" w:cs="Arial"/>
          <w:bCs/>
          <w:sz w:val="24"/>
          <w:szCs w:val="24"/>
        </w:rPr>
        <w:t>2 West Northfield Road</w:t>
      </w:r>
    </w:p>
    <w:p w:rsidR="005D35B3" w:rsidRPr="003C1AA8" w:rsidRDefault="005D35B3" w:rsidP="005D35B3">
      <w:pPr>
        <w:pStyle w:val="NoSpacing"/>
        <w:rPr>
          <w:rFonts w:ascii="Arial" w:hAnsi="Arial" w:cs="Arial"/>
          <w:sz w:val="24"/>
          <w:szCs w:val="24"/>
        </w:rPr>
      </w:pPr>
      <w:r w:rsidRPr="003C1AA8">
        <w:rPr>
          <w:rFonts w:ascii="Arial" w:hAnsi="Arial" w:cs="Arial"/>
          <w:bCs/>
          <w:sz w:val="24"/>
          <w:szCs w:val="24"/>
        </w:rPr>
        <w:t>Livingston, NJ 07039</w:t>
      </w:r>
      <w:bookmarkStart w:id="0" w:name="_GoBack"/>
      <w:bookmarkEnd w:id="0"/>
    </w:p>
    <w:p w:rsidR="005D35B3" w:rsidRPr="003C1AA8" w:rsidRDefault="005D35B3" w:rsidP="005D35B3">
      <w:pPr>
        <w:pStyle w:val="NoSpacing"/>
        <w:rPr>
          <w:rFonts w:ascii="Arial" w:hAnsi="Arial" w:cs="Arial"/>
          <w:sz w:val="24"/>
          <w:szCs w:val="24"/>
        </w:rPr>
      </w:pPr>
    </w:p>
    <w:p w:rsidR="005D35B3" w:rsidRDefault="005D35B3" w:rsidP="005D3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1AA8">
        <w:rPr>
          <w:rFonts w:ascii="Arial" w:eastAsia="Times New Roman" w:hAnsi="Arial" w:cs="Arial"/>
          <w:sz w:val="24"/>
          <w:szCs w:val="24"/>
        </w:rPr>
        <w:t xml:space="preserve">Contact: </w:t>
      </w:r>
      <w:r w:rsidRPr="003C1AA8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5" w:history="1">
        <w:r w:rsidRPr="003C1AA8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3C1AA8">
        <w:rPr>
          <w:rFonts w:ascii="Arial" w:eastAsia="Times New Roman" w:hAnsi="Arial" w:cs="Arial"/>
          <w:sz w:val="24"/>
          <w:szCs w:val="24"/>
        </w:rPr>
        <w:t xml:space="preserve"> / 973.513.9680</w:t>
      </w:r>
    </w:p>
    <w:p w:rsid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Gebroe-Hammer Associates Adds $18.5 Million/184-Unit East Orange Multi-Family Sale to Latest Transactions at </w:t>
      </w:r>
      <w:r w:rsidR="005D35B3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color w:val="000000"/>
          <w:sz w:val="24"/>
          <w:szCs w:val="24"/>
        </w:rPr>
        <w:t>The Crossroads of New Jersey</w:t>
      </w:r>
      <w:r w:rsidR="005D35B3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5C21B9" w:rsidRP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5C21B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Investment Activity Spurred by Revitalization and Flood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of Millennial-Aged Tenants</w:t>
      </w:r>
    </w:p>
    <w:p w:rsid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1B7D" w:rsidRDefault="00681B7D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81B7D">
        <w:rPr>
          <w:rFonts w:ascii="Arial" w:hAnsi="Arial" w:cs="Arial"/>
          <w:b/>
          <w:bCs/>
          <w:color w:val="000000"/>
          <w:sz w:val="24"/>
          <w:szCs w:val="24"/>
        </w:rPr>
        <w:t xml:space="preserve">EAST ORANGE, NJ, </w:t>
      </w:r>
      <w:r w:rsidR="00953076">
        <w:rPr>
          <w:rFonts w:ascii="Arial" w:hAnsi="Arial" w:cs="Arial"/>
          <w:b/>
          <w:bCs/>
          <w:color w:val="000000"/>
          <w:sz w:val="24"/>
          <w:szCs w:val="24"/>
        </w:rPr>
        <w:t>August 17</w:t>
      </w:r>
      <w:r w:rsidRPr="00681B7D">
        <w:rPr>
          <w:rFonts w:ascii="Arial" w:hAnsi="Arial" w:cs="Arial"/>
          <w:b/>
          <w:bCs/>
          <w:color w:val="000000"/>
          <w:sz w:val="24"/>
          <w:szCs w:val="24"/>
        </w:rPr>
        <w:t>, 2016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</w:t>
      </w:r>
      <w:r w:rsidR="005C21B9">
        <w:rPr>
          <w:rFonts w:ascii="Arial" w:hAnsi="Arial" w:cs="Arial"/>
          <w:bCs/>
          <w:color w:val="000000"/>
          <w:sz w:val="24"/>
          <w:szCs w:val="24"/>
        </w:rPr>
        <w:t xml:space="preserve"> East Orange’s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on-going transformation from an urban bedroom community in decline to a leading millennial/generation Y residential hotspot was recently </w:t>
      </w:r>
      <w:r w:rsidR="005C21B9">
        <w:rPr>
          <w:rFonts w:ascii="Arial" w:hAnsi="Arial" w:cs="Arial"/>
          <w:bCs/>
          <w:color w:val="000000"/>
          <w:sz w:val="24"/>
          <w:szCs w:val="24"/>
        </w:rPr>
        <w:t>punctuated</w:t>
      </w:r>
      <w:r w:rsidR="005D35B3">
        <w:rPr>
          <w:rFonts w:ascii="Arial" w:hAnsi="Arial" w:cs="Arial"/>
          <w:bCs/>
          <w:color w:val="000000"/>
          <w:sz w:val="24"/>
          <w:szCs w:val="24"/>
        </w:rPr>
        <w:t xml:space="preserve"> by the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$18.5 million sale of a prominent three</w:t>
      </w:r>
      <w:r w:rsidR="005D35B3">
        <w:rPr>
          <w:rFonts w:ascii="Arial" w:hAnsi="Arial" w:cs="Arial"/>
          <w:bCs/>
          <w:color w:val="000000"/>
          <w:sz w:val="24"/>
          <w:szCs w:val="24"/>
        </w:rPr>
        <w:t xml:space="preserve">-property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apartment-community portfolio arranged by </w:t>
      </w:r>
      <w:hyperlink r:id="rId6" w:history="1">
        <w:r w:rsidR="001E04C5" w:rsidRPr="00D7509D">
          <w:rPr>
            <w:rStyle w:val="Hyperlink"/>
            <w:rFonts w:ascii="Arial" w:hAnsi="Arial" w:cs="Arial"/>
            <w:sz w:val="24"/>
            <w:szCs w:val="24"/>
          </w:rPr>
          <w:t>Gebroe-Hammer Associates</w:t>
        </w:r>
      </w:hyperlink>
      <w:r w:rsidR="005C21B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Managing Directors David</w:t>
      </w:r>
      <w:r w:rsidR="005C21B9">
        <w:rPr>
          <w:rFonts w:ascii="Arial" w:hAnsi="Arial" w:cs="Arial"/>
          <w:bCs/>
          <w:color w:val="000000"/>
          <w:sz w:val="24"/>
          <w:szCs w:val="24"/>
        </w:rPr>
        <w:t xml:space="preserve"> Oropeza and Joseph Brecher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exclusively represented the owner an</w:t>
      </w:r>
      <w:r w:rsidR="005C21B9">
        <w:rPr>
          <w:rFonts w:ascii="Arial" w:hAnsi="Arial" w:cs="Arial"/>
          <w:bCs/>
          <w:color w:val="000000"/>
          <w:sz w:val="24"/>
          <w:szCs w:val="24"/>
        </w:rPr>
        <w:t>d procured the</w:t>
      </w:r>
      <w:r w:rsidR="005D35B3">
        <w:rPr>
          <w:rFonts w:ascii="Arial" w:hAnsi="Arial" w:cs="Arial"/>
          <w:bCs/>
          <w:color w:val="000000"/>
          <w:sz w:val="24"/>
          <w:szCs w:val="24"/>
        </w:rPr>
        <w:t xml:space="preserve"> buyer of the properties located along South Harrison Street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C21B9" w:rsidRDefault="005C21B9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Situated within the northeastern quadrant of Essex County, New Jersey, East Orange continues to dominate as one of the region’s leading multi-family investment submarkets and emerging rental-living destinations, according to the Livingston-based investment brokerage firm’s market specialists. </w:t>
      </w:r>
    </w:p>
    <w:p w:rsidR="00681B7D" w:rsidRDefault="00681B7D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17BF0" w:rsidRDefault="00681B7D" w:rsidP="0068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“East Orange is leveraging its historical architecture, spacious homes and wide tree-lined streets to realize city-wide revitalization that combines the best of urban and suburban living,” said Oropeza, the firm’s East Orange and</w:t>
      </w:r>
      <w:r w:rsidR="005C21B9">
        <w:rPr>
          <w:rFonts w:ascii="Arial" w:hAnsi="Arial" w:cs="Arial"/>
          <w:bCs/>
          <w:color w:val="000000"/>
          <w:sz w:val="24"/>
          <w:szCs w:val="24"/>
        </w:rPr>
        <w:t xml:space="preserve"> urban market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specialist. “As a result, this urban renewal movement is </w:t>
      </w:r>
      <w:r w:rsidR="005C21B9">
        <w:rPr>
          <w:rFonts w:ascii="Arial" w:hAnsi="Arial" w:cs="Arial"/>
          <w:bCs/>
          <w:color w:val="000000"/>
          <w:sz w:val="24"/>
          <w:szCs w:val="24"/>
        </w:rPr>
        <w:t xml:space="preserve">simultaneously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attracting widespread investment, private and public collaboration and the nation’s most desirable tenant base – </w:t>
      </w:r>
      <w:r w:rsidR="00117BF0">
        <w:rPr>
          <w:rFonts w:ascii="Arial" w:hAnsi="Arial" w:cs="Arial"/>
          <w:bCs/>
          <w:color w:val="000000"/>
          <w:sz w:val="24"/>
          <w:szCs w:val="24"/>
        </w:rPr>
        <w:t xml:space="preserve">those born between the </w:t>
      </w:r>
      <w:r>
        <w:rPr>
          <w:rFonts w:ascii="Arial" w:hAnsi="Arial" w:cs="Arial"/>
          <w:bCs/>
          <w:color w:val="000000"/>
          <w:sz w:val="24"/>
          <w:szCs w:val="24"/>
        </w:rPr>
        <w:t>early 1980s through early 2000s – c</w:t>
      </w:r>
      <w:r w:rsidR="00117BF0">
        <w:rPr>
          <w:rFonts w:ascii="Arial" w:hAnsi="Arial" w:cs="Arial"/>
          <w:bCs/>
          <w:color w:val="000000"/>
          <w:sz w:val="24"/>
          <w:szCs w:val="24"/>
        </w:rPr>
        <w:t>ommonly known as millennials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or Generation Y.”</w:t>
      </w:r>
      <w:r w:rsidR="00117BF0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681B7D" w:rsidRDefault="00681B7D" w:rsidP="00681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17BF0" w:rsidRDefault="00681B7D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According to Oropeza, the same requirements that are important to this new tenant demographic are equally or more </w:t>
      </w:r>
      <w:r w:rsidR="005C21B9">
        <w:rPr>
          <w:rFonts w:ascii="Arial" w:hAnsi="Arial" w:cs="Arial"/>
          <w:bCs/>
          <w:color w:val="000000"/>
          <w:sz w:val="24"/>
          <w:szCs w:val="24"/>
        </w:rPr>
        <w:t>essential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investors. High-priority considerations include amenity-filled residential options for those priced out of New York City, </w:t>
      </w:r>
      <w:r w:rsidR="005C21B9">
        <w:rPr>
          <w:rFonts w:ascii="Arial" w:hAnsi="Arial" w:cs="Arial"/>
          <w:bCs/>
          <w:color w:val="000000"/>
          <w:sz w:val="24"/>
          <w:szCs w:val="24"/>
        </w:rPr>
        <w:t>proximity 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metro-area employment </w:t>
      </w:r>
      <w:r w:rsidR="005C21B9">
        <w:rPr>
          <w:rFonts w:ascii="Arial" w:hAnsi="Arial" w:cs="Arial"/>
          <w:bCs/>
          <w:color w:val="000000"/>
          <w:sz w:val="24"/>
          <w:szCs w:val="24"/>
        </w:rPr>
        <w:t xml:space="preserve">centers and access to </w:t>
      </w:r>
      <w:r>
        <w:rPr>
          <w:rFonts w:ascii="Arial" w:hAnsi="Arial" w:cs="Arial"/>
          <w:bCs/>
          <w:color w:val="000000"/>
          <w:sz w:val="24"/>
          <w:szCs w:val="24"/>
        </w:rPr>
        <w:t>mass transit and educational centers. Green space near shopping, dining and recreational venues also are priorities.</w:t>
      </w:r>
    </w:p>
    <w:p w:rsidR="00681B7D" w:rsidRDefault="00681B7D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3424E" w:rsidRDefault="00681B7D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recently sold South Harrison Street portfolio includes 243 South Harrison/Harrison House and 179 and 158 South Harrison St., encompassing a total of 184 units. </w:t>
      </w:r>
      <w:r w:rsidR="009D2BAE">
        <w:rPr>
          <w:rFonts w:ascii="Arial" w:hAnsi="Arial" w:cs="Arial"/>
          <w:bCs/>
          <w:color w:val="000000"/>
          <w:sz w:val="24"/>
          <w:szCs w:val="24"/>
        </w:rPr>
        <w:t xml:space="preserve">Approximately 50 percent of the </w:t>
      </w:r>
      <w:r w:rsidR="009D2BAE" w:rsidRPr="009D2BAE">
        <w:rPr>
          <w:rFonts w:ascii="Arial" w:hAnsi="Arial" w:cs="Arial"/>
          <w:bCs/>
          <w:color w:val="000000"/>
          <w:sz w:val="24"/>
          <w:szCs w:val="24"/>
        </w:rPr>
        <w:t>units</w:t>
      </w:r>
      <w:r w:rsidR="0083424E" w:rsidRPr="009D2BAE">
        <w:rPr>
          <w:rFonts w:ascii="Arial" w:hAnsi="Arial" w:cs="Arial"/>
          <w:bCs/>
          <w:color w:val="000000"/>
          <w:sz w:val="24"/>
          <w:szCs w:val="24"/>
        </w:rPr>
        <w:t xml:space="preserve"> have been</w:t>
      </w:r>
      <w:r w:rsidR="009D2BAE" w:rsidRPr="009D2B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424E" w:rsidRPr="009D2BAE">
        <w:rPr>
          <w:rFonts w:ascii="Arial" w:hAnsi="Arial" w:cs="Arial"/>
          <w:bCs/>
          <w:color w:val="000000"/>
          <w:sz w:val="24"/>
          <w:szCs w:val="24"/>
        </w:rPr>
        <w:t>updated with upscale finishes and one-to-two full or half baths.</w:t>
      </w:r>
      <w:r w:rsidR="0083424E">
        <w:rPr>
          <w:rFonts w:ascii="Arial" w:hAnsi="Arial" w:cs="Arial"/>
          <w:bCs/>
          <w:color w:val="000000"/>
          <w:sz w:val="24"/>
          <w:szCs w:val="24"/>
        </w:rPr>
        <w:t xml:space="preserve"> Each </w:t>
      </w:r>
      <w:r w:rsidR="009D2BAE">
        <w:rPr>
          <w:rFonts w:ascii="Arial" w:hAnsi="Arial" w:cs="Arial"/>
          <w:bCs/>
          <w:color w:val="000000"/>
          <w:sz w:val="24"/>
          <w:szCs w:val="24"/>
        </w:rPr>
        <w:t xml:space="preserve">property </w:t>
      </w:r>
      <w:r w:rsidR="0083424E">
        <w:rPr>
          <w:rFonts w:ascii="Arial" w:hAnsi="Arial" w:cs="Arial"/>
          <w:bCs/>
          <w:color w:val="000000"/>
          <w:sz w:val="24"/>
          <w:szCs w:val="24"/>
        </w:rPr>
        <w:t>also has modern luxurious lobbies and commons areas. According to Brecher, the buyer expects to implement a capital improvement program to upgrade approximately 60 units that have yet to be renovated.</w:t>
      </w:r>
    </w:p>
    <w:p w:rsidR="0083424E" w:rsidRDefault="0083424E" w:rsidP="006E6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3424E" w:rsidRDefault="0083424E" w:rsidP="0083424E">
      <w:pPr>
        <w:pStyle w:val="NoSpacing"/>
        <w:rPr>
          <w:rFonts w:ascii="Arial" w:hAnsi="Arial" w:cs="Arial"/>
          <w:sz w:val="24"/>
          <w:szCs w:val="24"/>
        </w:rPr>
      </w:pPr>
      <w:r w:rsidRPr="009D2BAE">
        <w:rPr>
          <w:rFonts w:ascii="Arial" w:hAnsi="Arial" w:cs="Arial"/>
          <w:sz w:val="24"/>
          <w:szCs w:val="24"/>
        </w:rPr>
        <w:t xml:space="preserve">“Of the </w:t>
      </w:r>
      <w:r w:rsidR="009D2BAE" w:rsidRPr="009D2BAE">
        <w:rPr>
          <w:rFonts w:ascii="Arial" w:hAnsi="Arial" w:cs="Arial"/>
          <w:sz w:val="24"/>
          <w:szCs w:val="24"/>
        </w:rPr>
        <w:t xml:space="preserve">total </w:t>
      </w:r>
      <w:r w:rsidRPr="009D2BAE">
        <w:rPr>
          <w:rFonts w:ascii="Arial" w:hAnsi="Arial" w:cs="Arial"/>
          <w:sz w:val="24"/>
          <w:szCs w:val="24"/>
        </w:rPr>
        <w:t>unit</w:t>
      </w:r>
      <w:r w:rsidR="009D2BAE" w:rsidRPr="009D2BAE">
        <w:rPr>
          <w:rFonts w:ascii="Arial" w:hAnsi="Arial" w:cs="Arial"/>
          <w:sz w:val="24"/>
          <w:szCs w:val="24"/>
        </w:rPr>
        <w:t xml:space="preserve"> count</w:t>
      </w:r>
      <w:r w:rsidRPr="009D2BAE">
        <w:rPr>
          <w:rFonts w:ascii="Arial" w:hAnsi="Arial" w:cs="Arial"/>
          <w:sz w:val="24"/>
          <w:szCs w:val="24"/>
        </w:rPr>
        <w:t>, about half are two-, three- and four-bedrooms</w:t>
      </w:r>
      <w:r w:rsidR="009D2BAE">
        <w:rPr>
          <w:rFonts w:ascii="Arial" w:hAnsi="Arial" w:cs="Arial"/>
          <w:sz w:val="24"/>
          <w:szCs w:val="24"/>
        </w:rPr>
        <w:t xml:space="preserve"> </w:t>
      </w:r>
      <w:r w:rsidRPr="0083424E">
        <w:rPr>
          <w:rFonts w:ascii="Arial" w:hAnsi="Arial" w:cs="Arial"/>
          <w:sz w:val="24"/>
          <w:szCs w:val="24"/>
        </w:rPr>
        <w:t>which are garnering the greatest tenant demand</w:t>
      </w:r>
      <w:r>
        <w:rPr>
          <w:rFonts w:ascii="Arial" w:hAnsi="Arial" w:cs="Arial"/>
          <w:sz w:val="24"/>
          <w:szCs w:val="24"/>
        </w:rPr>
        <w:t xml:space="preserve"> in the current market where the renter-household percentage exceeds that of the state average,” he added. </w:t>
      </w:r>
      <w:r w:rsidRPr="0083424E">
        <w:rPr>
          <w:rFonts w:ascii="Arial" w:hAnsi="Arial" w:cs="Arial"/>
          <w:sz w:val="24"/>
          <w:szCs w:val="24"/>
        </w:rPr>
        <w:t xml:space="preserve"> </w:t>
      </w:r>
    </w:p>
    <w:p w:rsidR="0083424E" w:rsidRPr="0083424E" w:rsidRDefault="0083424E" w:rsidP="0083424E">
      <w:pPr>
        <w:pStyle w:val="NoSpacing"/>
        <w:rPr>
          <w:rFonts w:ascii="Arial" w:hAnsi="Arial" w:cs="Arial"/>
          <w:sz w:val="24"/>
          <w:szCs w:val="24"/>
        </w:rPr>
      </w:pPr>
    </w:p>
    <w:p w:rsidR="00C44777" w:rsidRDefault="005C21B9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  <w:r>
        <w:rPr>
          <w:rFonts w:ascii="Arial" w:hAnsi="Arial" w:cs="Arial"/>
          <w:bCs/>
          <w:color w:val="211D1E"/>
          <w:sz w:val="24"/>
          <w:szCs w:val="24"/>
        </w:rPr>
        <w:t>Situated at the Crossroads of New Jersey where I-280 and the Garden State Parkway intersect, a</w:t>
      </w:r>
      <w:r w:rsidR="0083424E" w:rsidRPr="0083424E">
        <w:rPr>
          <w:rFonts w:ascii="Arial" w:hAnsi="Arial" w:cs="Arial"/>
          <w:bCs/>
          <w:color w:val="211D1E"/>
          <w:sz w:val="24"/>
          <w:szCs w:val="24"/>
        </w:rPr>
        <w:t>pproximately 18 miles from Midtown Manhattan, the portfolio is within one of the city’s most historic residential neighborhoods.</w:t>
      </w:r>
      <w:r>
        <w:rPr>
          <w:rFonts w:ascii="Arial" w:hAnsi="Arial" w:cs="Arial"/>
          <w:bCs/>
          <w:color w:val="211D1E"/>
          <w:sz w:val="24"/>
          <w:szCs w:val="24"/>
        </w:rPr>
        <w:t xml:space="preserve"> East Orange’s</w:t>
      </w:r>
      <w:r w:rsidR="0083424E" w:rsidRPr="0083424E">
        <w:rPr>
          <w:rFonts w:ascii="Arial" w:hAnsi="Arial" w:cs="Arial"/>
          <w:bCs/>
          <w:color w:val="211D1E"/>
          <w:sz w:val="24"/>
          <w:szCs w:val="24"/>
        </w:rPr>
        <w:t xml:space="preserve"> </w:t>
      </w:r>
      <w:r w:rsidR="0083424E">
        <w:rPr>
          <w:rFonts w:ascii="Arial" w:hAnsi="Arial" w:cs="Arial"/>
          <w:bCs/>
          <w:color w:val="211D1E"/>
          <w:sz w:val="24"/>
          <w:szCs w:val="24"/>
        </w:rPr>
        <w:t>2012 transit-village designation also has contributed toward advancing the city’s profile, resulting in average asking-rent increases spanning nine consecutive quarters, according</w:t>
      </w:r>
      <w:r w:rsidR="006602AA">
        <w:rPr>
          <w:rFonts w:ascii="Arial" w:hAnsi="Arial" w:cs="Arial"/>
          <w:bCs/>
          <w:color w:val="211D1E"/>
          <w:sz w:val="24"/>
          <w:szCs w:val="24"/>
        </w:rPr>
        <w:t xml:space="preserve"> to</w:t>
      </w:r>
      <w:r w:rsidR="0083424E">
        <w:rPr>
          <w:rFonts w:ascii="Arial" w:hAnsi="Arial" w:cs="Arial"/>
          <w:bCs/>
          <w:color w:val="211D1E"/>
          <w:sz w:val="24"/>
          <w:szCs w:val="24"/>
        </w:rPr>
        <w:t xml:space="preserve"> REIS. </w:t>
      </w:r>
    </w:p>
    <w:p w:rsidR="00C44777" w:rsidRDefault="00C44777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</w:p>
    <w:p w:rsidR="005C21B9" w:rsidRDefault="0083424E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  <w:r>
        <w:rPr>
          <w:rFonts w:ascii="Arial" w:hAnsi="Arial" w:cs="Arial"/>
          <w:bCs/>
          <w:color w:val="211D1E"/>
          <w:sz w:val="24"/>
          <w:szCs w:val="24"/>
        </w:rPr>
        <w:t>“As of the latest quarterly figures, Eastern Essex County is outpacing Northern New Jersey, the Northeast and the U.S. in terms of asking rent growth,” added Oropeza.</w:t>
      </w:r>
      <w:r w:rsidR="005C21B9">
        <w:rPr>
          <w:rFonts w:ascii="Arial" w:hAnsi="Arial" w:cs="Arial"/>
          <w:bCs/>
          <w:color w:val="211D1E"/>
          <w:sz w:val="24"/>
          <w:szCs w:val="24"/>
        </w:rPr>
        <w:t xml:space="preserve"> “Each quarterly cycle brings new investment acquisition and disposition opportunities submarket-wide.” </w:t>
      </w:r>
    </w:p>
    <w:p w:rsidR="005C21B9" w:rsidRDefault="005C21B9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</w:p>
    <w:p w:rsidR="005C21B9" w:rsidRDefault="005C21B9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  <w:r>
        <w:rPr>
          <w:rFonts w:ascii="Arial" w:hAnsi="Arial" w:cs="Arial"/>
          <w:bCs/>
          <w:color w:val="211D1E"/>
          <w:sz w:val="24"/>
          <w:szCs w:val="24"/>
        </w:rPr>
        <w:t xml:space="preserve">Two days after closing the South Harrison Street Portfolio sale, Oropeza and Sales Associate Jacob Hammer </w:t>
      </w:r>
      <w:r w:rsidR="009D2BAE">
        <w:rPr>
          <w:rFonts w:ascii="Arial" w:hAnsi="Arial" w:cs="Arial"/>
          <w:bCs/>
          <w:color w:val="211D1E"/>
          <w:sz w:val="24"/>
          <w:szCs w:val="24"/>
        </w:rPr>
        <w:t xml:space="preserve">also finalized the </w:t>
      </w:r>
      <w:r>
        <w:rPr>
          <w:rFonts w:ascii="Arial" w:hAnsi="Arial" w:cs="Arial"/>
          <w:bCs/>
          <w:color w:val="211D1E"/>
          <w:sz w:val="24"/>
          <w:szCs w:val="24"/>
        </w:rPr>
        <w:t xml:space="preserve">trade of </w:t>
      </w:r>
      <w:r w:rsidR="009D2BAE">
        <w:rPr>
          <w:rFonts w:ascii="Arial" w:hAnsi="Arial" w:cs="Arial"/>
          <w:bCs/>
          <w:color w:val="211D1E"/>
          <w:sz w:val="24"/>
          <w:szCs w:val="24"/>
        </w:rPr>
        <w:t xml:space="preserve">another </w:t>
      </w:r>
      <w:r>
        <w:rPr>
          <w:rFonts w:ascii="Arial" w:hAnsi="Arial" w:cs="Arial"/>
          <w:bCs/>
          <w:color w:val="211D1E"/>
          <w:sz w:val="24"/>
          <w:szCs w:val="24"/>
        </w:rPr>
        <w:t xml:space="preserve">62 units </w:t>
      </w:r>
      <w:r w:rsidR="009D2BAE">
        <w:rPr>
          <w:rFonts w:ascii="Arial" w:hAnsi="Arial" w:cs="Arial"/>
          <w:bCs/>
          <w:color w:val="211D1E"/>
          <w:sz w:val="24"/>
          <w:szCs w:val="24"/>
        </w:rPr>
        <w:t>in the city.</w:t>
      </w:r>
      <w:r>
        <w:rPr>
          <w:rFonts w:ascii="Arial" w:hAnsi="Arial" w:cs="Arial"/>
          <w:bCs/>
          <w:color w:val="211D1E"/>
          <w:sz w:val="24"/>
          <w:szCs w:val="24"/>
        </w:rPr>
        <w:t xml:space="preserve"> </w:t>
      </w:r>
      <w:r w:rsidR="009D2BAE">
        <w:rPr>
          <w:rFonts w:ascii="Arial" w:hAnsi="Arial" w:cs="Arial"/>
          <w:bCs/>
          <w:color w:val="211D1E"/>
          <w:sz w:val="24"/>
          <w:szCs w:val="24"/>
        </w:rPr>
        <w:t xml:space="preserve">The </w:t>
      </w:r>
      <w:r>
        <w:rPr>
          <w:rFonts w:ascii="Arial" w:hAnsi="Arial" w:cs="Arial"/>
          <w:bCs/>
          <w:color w:val="211D1E"/>
          <w:sz w:val="24"/>
          <w:szCs w:val="24"/>
        </w:rPr>
        <w:t>mix of one- and two-bedroom units</w:t>
      </w:r>
      <w:r w:rsidR="009D2BAE">
        <w:rPr>
          <w:rFonts w:ascii="Arial" w:hAnsi="Arial" w:cs="Arial"/>
          <w:bCs/>
          <w:color w:val="211D1E"/>
          <w:sz w:val="24"/>
          <w:szCs w:val="24"/>
        </w:rPr>
        <w:t xml:space="preserve"> are</w:t>
      </w:r>
      <w:r>
        <w:rPr>
          <w:rFonts w:ascii="Arial" w:hAnsi="Arial" w:cs="Arial"/>
          <w:bCs/>
          <w:color w:val="211D1E"/>
          <w:sz w:val="24"/>
          <w:szCs w:val="24"/>
        </w:rPr>
        <w:t xml:space="preserve"> near the East Orange and Brick Church rail stations.  </w:t>
      </w:r>
    </w:p>
    <w:p w:rsidR="005C21B9" w:rsidRDefault="005C21B9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</w:p>
    <w:p w:rsidR="005C21B9" w:rsidRDefault="005C21B9" w:rsidP="005C21B9">
      <w:pPr>
        <w:pStyle w:val="NoSpacing"/>
        <w:rPr>
          <w:rFonts w:ascii="Arial" w:hAnsi="Arial" w:cs="Arial"/>
          <w:sz w:val="24"/>
          <w:szCs w:val="24"/>
          <w:lang w:val="en"/>
        </w:rPr>
      </w:pPr>
      <w:r w:rsidRPr="00671E54">
        <w:rPr>
          <w:rFonts w:ascii="Arial" w:hAnsi="Arial" w:cs="Arial"/>
          <w:sz w:val="24"/>
          <w:szCs w:val="24"/>
        </w:rPr>
        <w:t xml:space="preserve">Gebroe-Hammer is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one </w:t>
      </w:r>
      <w:r>
        <w:rPr>
          <w:rFonts w:ascii="Arial" w:hAnsi="Arial" w:cs="Arial"/>
          <w:color w:val="000000"/>
          <w:sz w:val="24"/>
          <w:szCs w:val="24"/>
        </w:rPr>
        <w:t xml:space="preserve">of the most active multi-family </w:t>
      </w:r>
      <w:r w:rsidRPr="00671E54">
        <w:rPr>
          <w:rFonts w:ascii="Arial" w:hAnsi="Arial" w:cs="Arial"/>
          <w:color w:val="000000"/>
          <w:sz w:val="24"/>
          <w:szCs w:val="24"/>
        </w:rPr>
        <w:t>inv</w:t>
      </w:r>
      <w:r>
        <w:rPr>
          <w:rFonts w:ascii="Arial" w:hAnsi="Arial" w:cs="Arial"/>
          <w:color w:val="000000"/>
          <w:sz w:val="24"/>
          <w:szCs w:val="24"/>
        </w:rPr>
        <w:t>estment sales brokerage firms in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 </w:t>
      </w:r>
      <w:r w:rsidR="00953076">
        <w:rPr>
          <w:rFonts w:ascii="Arial" w:hAnsi="Arial" w:cs="Arial"/>
          <w:color w:val="000000"/>
          <w:sz w:val="24"/>
          <w:szCs w:val="24"/>
        </w:rPr>
        <w:t>Essex</w:t>
      </w:r>
      <w:r>
        <w:rPr>
          <w:rFonts w:ascii="Arial" w:hAnsi="Arial" w:cs="Arial"/>
          <w:color w:val="000000"/>
          <w:sz w:val="24"/>
          <w:szCs w:val="24"/>
        </w:rPr>
        <w:t xml:space="preserve"> County, N.J. and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entire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tri-state region. The firm’s brokerage activities concentrate on suburban and urban high-rise and garden-apartment properties throughout the Northeast and nationally. Gebroe-Hammer also markets mixed-use and free-standing office and retail properties. </w:t>
      </w:r>
      <w:r w:rsidRPr="00671E54">
        <w:rPr>
          <w:rFonts w:ascii="Arial" w:hAnsi="Arial" w:cs="Arial"/>
          <w:sz w:val="24"/>
          <w:szCs w:val="24"/>
          <w:lang w:val="en"/>
        </w:rPr>
        <w:t>Widely recognized for its consistent sales performan</w:t>
      </w:r>
      <w:r>
        <w:rPr>
          <w:rFonts w:ascii="Arial" w:hAnsi="Arial" w:cs="Arial"/>
          <w:sz w:val="24"/>
          <w:szCs w:val="24"/>
          <w:lang w:val="en"/>
        </w:rPr>
        <w:t>ce, the firm is an 11</w:t>
      </w:r>
      <w:r w:rsidRPr="00671E54">
        <w:rPr>
          <w:rFonts w:ascii="Arial" w:hAnsi="Arial" w:cs="Arial"/>
          <w:sz w:val="24"/>
          <w:szCs w:val="24"/>
          <w:lang w:val="en"/>
        </w:rPr>
        <w:t xml:space="preserve">-time CoStar Power Broker. </w:t>
      </w:r>
    </w:p>
    <w:p w:rsidR="005C21B9" w:rsidRDefault="005C21B9" w:rsidP="005C21B9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5C21B9" w:rsidRPr="00B646EB" w:rsidRDefault="005C21B9" w:rsidP="005C21B9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###</w:t>
      </w:r>
    </w:p>
    <w:p w:rsidR="00681B7D" w:rsidRPr="0083424E" w:rsidRDefault="0083424E" w:rsidP="0083424E">
      <w:pPr>
        <w:pStyle w:val="NoSpacing"/>
        <w:rPr>
          <w:rFonts w:ascii="Arial" w:hAnsi="Arial" w:cs="Arial"/>
          <w:bCs/>
          <w:color w:val="211D1E"/>
          <w:sz w:val="24"/>
          <w:szCs w:val="24"/>
        </w:rPr>
      </w:pPr>
      <w:r>
        <w:rPr>
          <w:rFonts w:ascii="Arial" w:hAnsi="Arial" w:cs="Arial"/>
          <w:bCs/>
          <w:color w:val="211D1E"/>
          <w:sz w:val="24"/>
          <w:szCs w:val="24"/>
        </w:rPr>
        <w:t xml:space="preserve">   </w:t>
      </w:r>
      <w:r w:rsidRPr="0083424E">
        <w:rPr>
          <w:rFonts w:ascii="Arial" w:hAnsi="Arial" w:cs="Arial"/>
          <w:bCs/>
          <w:color w:val="211D1E"/>
          <w:sz w:val="24"/>
          <w:szCs w:val="24"/>
        </w:rPr>
        <w:t xml:space="preserve">  </w:t>
      </w:r>
      <w:r w:rsidRPr="0083424E">
        <w:rPr>
          <w:rFonts w:ascii="Arial" w:hAnsi="Arial" w:cs="Arial"/>
          <w:sz w:val="24"/>
          <w:szCs w:val="24"/>
        </w:rPr>
        <w:t xml:space="preserve">  </w:t>
      </w:r>
      <w:r w:rsidR="00681B7D" w:rsidRPr="0083424E">
        <w:rPr>
          <w:rFonts w:ascii="Arial" w:hAnsi="Arial" w:cs="Arial"/>
          <w:sz w:val="24"/>
          <w:szCs w:val="24"/>
        </w:rPr>
        <w:t xml:space="preserve">  </w:t>
      </w:r>
    </w:p>
    <w:p w:rsidR="004F17F7" w:rsidRPr="0083424E" w:rsidRDefault="00953076" w:rsidP="0083424E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</w:p>
    <w:sectPr w:rsidR="004F17F7" w:rsidRPr="0083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A4B"/>
    <w:multiLevelType w:val="hybridMultilevel"/>
    <w:tmpl w:val="C842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B6"/>
    <w:rsid w:val="00117BF0"/>
    <w:rsid w:val="001E04C5"/>
    <w:rsid w:val="0035408F"/>
    <w:rsid w:val="00447A9C"/>
    <w:rsid w:val="00551DCB"/>
    <w:rsid w:val="005C21B9"/>
    <w:rsid w:val="005D35B3"/>
    <w:rsid w:val="006602AA"/>
    <w:rsid w:val="00681B7D"/>
    <w:rsid w:val="006E61B6"/>
    <w:rsid w:val="0083424E"/>
    <w:rsid w:val="00953076"/>
    <w:rsid w:val="009D2BAE"/>
    <w:rsid w:val="00A13B8B"/>
    <w:rsid w:val="00A62926"/>
    <w:rsid w:val="00B7268F"/>
    <w:rsid w:val="00C44777"/>
    <w:rsid w:val="00D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BABFC-ED07-4DBE-8FBB-8D8087E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1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61B6"/>
    <w:pPr>
      <w:ind w:left="720"/>
      <w:contextualSpacing/>
    </w:pPr>
  </w:style>
  <w:style w:type="paragraph" w:customStyle="1" w:styleId="Default">
    <w:name w:val="Default"/>
    <w:rsid w:val="00681B7D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broehammer.com/" TargetMode="External"/><Relationship Id="rId5" Type="http://schemas.openxmlformats.org/officeDocument/2006/relationships/hyperlink" Target="mailto:carin@cmmstrateg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10</cp:revision>
  <dcterms:created xsi:type="dcterms:W3CDTF">2016-07-19T19:42:00Z</dcterms:created>
  <dcterms:modified xsi:type="dcterms:W3CDTF">2016-08-17T13:21:00Z</dcterms:modified>
</cp:coreProperties>
</file>