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AC" w:rsidRPr="00804C03" w:rsidRDefault="00A60CAC" w:rsidP="000539E7">
      <w:pPr>
        <w:pStyle w:val="NoSpacing"/>
        <w:rPr>
          <w:rFonts w:ascii="Times New Roman" w:hAnsi="Times New Roman" w:cs="Times New Roman"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i/>
          <w:sz w:val="44"/>
          <w:szCs w:val="44"/>
          <w:u w:val="single"/>
        </w:rPr>
        <w:t>News Release</w:t>
      </w:r>
    </w:p>
    <w:p w:rsidR="00804C03" w:rsidRDefault="00804C03" w:rsidP="000539E7">
      <w:pPr>
        <w:pStyle w:val="NoSpacing"/>
        <w:rPr>
          <w:rFonts w:ascii="Arial" w:hAnsi="Arial" w:cs="Arial"/>
          <w:sz w:val="24"/>
          <w:szCs w:val="24"/>
        </w:rPr>
      </w:pPr>
    </w:p>
    <w:p w:rsidR="00A60CAC" w:rsidRPr="003C1AA8" w:rsidRDefault="00A60CAC" w:rsidP="00A60CAC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sz w:val="24"/>
          <w:szCs w:val="24"/>
        </w:rPr>
        <w:t>Gebroe-Hammer Associates</w:t>
      </w:r>
    </w:p>
    <w:p w:rsidR="00A60CAC" w:rsidRPr="003C1AA8" w:rsidRDefault="00A60CAC" w:rsidP="00A60CAC">
      <w:pPr>
        <w:pStyle w:val="NoSpacing"/>
        <w:rPr>
          <w:rFonts w:ascii="Arial" w:hAnsi="Arial" w:cs="Arial"/>
          <w:bCs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2 West Northfield Road</w:t>
      </w:r>
    </w:p>
    <w:p w:rsidR="00A60CAC" w:rsidRPr="003C1AA8" w:rsidRDefault="00A60CAC" w:rsidP="00A60CAC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Livingston, NJ 07039</w:t>
      </w:r>
    </w:p>
    <w:p w:rsidR="00A60CAC" w:rsidRPr="003C1AA8" w:rsidRDefault="00A60CAC" w:rsidP="00A60CAC">
      <w:pPr>
        <w:pStyle w:val="NoSpacing"/>
        <w:rPr>
          <w:rFonts w:ascii="Arial" w:hAnsi="Arial" w:cs="Arial"/>
          <w:sz w:val="24"/>
          <w:szCs w:val="24"/>
        </w:rPr>
      </w:pPr>
    </w:p>
    <w:p w:rsidR="00A60CAC" w:rsidRPr="00134134" w:rsidRDefault="00A60CAC" w:rsidP="00A60CAC">
      <w:pPr>
        <w:ind w:left="1440" w:hanging="1440"/>
        <w:rPr>
          <w:rFonts w:ascii="Arial" w:eastAsia="Times New Roman" w:hAnsi="Arial" w:cs="Arial"/>
          <w:sz w:val="24"/>
          <w:szCs w:val="24"/>
        </w:rPr>
      </w:pPr>
      <w:r w:rsidRPr="003C1AA8">
        <w:rPr>
          <w:rFonts w:ascii="Arial" w:eastAsia="Times New Roman" w:hAnsi="Arial" w:cs="Arial"/>
          <w:sz w:val="24"/>
          <w:szCs w:val="24"/>
        </w:rPr>
        <w:t xml:space="preserve">Contact: </w:t>
      </w:r>
      <w:r w:rsidRPr="003C1AA8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6" w:history="1">
        <w:r w:rsidRPr="003C1AA8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3C1AA8">
        <w:rPr>
          <w:rFonts w:ascii="Arial" w:eastAsia="Times New Roman" w:hAnsi="Arial" w:cs="Arial"/>
          <w:sz w:val="24"/>
          <w:szCs w:val="24"/>
        </w:rPr>
        <w:t xml:space="preserve"> / 973.513.9680 </w:t>
      </w:r>
    </w:p>
    <w:p w:rsidR="00A60CAC" w:rsidRDefault="00A60CAC" w:rsidP="000539E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04C03" w:rsidRDefault="00804C03" w:rsidP="000539E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Gebroe-Hammer Associates Brokers </w:t>
      </w:r>
      <w:r w:rsidR="0088739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ale of </w:t>
      </w:r>
      <w:r w:rsidR="0088739A">
        <w:rPr>
          <w:rFonts w:ascii="Arial" w:hAnsi="Arial" w:cs="Arial"/>
          <w:b/>
          <w:sz w:val="24"/>
          <w:szCs w:val="24"/>
        </w:rPr>
        <w:t xml:space="preserve">171-Unit </w:t>
      </w:r>
      <w:r w:rsidRPr="00804C03">
        <w:rPr>
          <w:rFonts w:ascii="Arial" w:hAnsi="Arial" w:cs="Arial"/>
          <w:b/>
          <w:sz w:val="24"/>
          <w:szCs w:val="24"/>
        </w:rPr>
        <w:t xml:space="preserve">Murray Hill Apartments </w:t>
      </w:r>
      <w:r>
        <w:rPr>
          <w:rFonts w:ascii="Arial" w:hAnsi="Arial" w:cs="Arial"/>
          <w:b/>
          <w:sz w:val="24"/>
          <w:szCs w:val="24"/>
        </w:rPr>
        <w:t>in New Providence NJ</w:t>
      </w:r>
    </w:p>
    <w:p w:rsidR="0088739A" w:rsidRPr="0088739A" w:rsidRDefault="0088739A" w:rsidP="000539E7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Unincorporated Neighborhood Draws Highly Educated Tenant Pool </w:t>
      </w:r>
    </w:p>
    <w:p w:rsidR="00804C03" w:rsidRDefault="00804C03" w:rsidP="000539E7">
      <w:pPr>
        <w:pStyle w:val="NoSpacing"/>
        <w:rPr>
          <w:rFonts w:ascii="Arial" w:hAnsi="Arial" w:cs="Arial"/>
          <w:i/>
          <w:sz w:val="24"/>
          <w:szCs w:val="24"/>
        </w:rPr>
      </w:pPr>
    </w:p>
    <w:p w:rsidR="00C92F25" w:rsidRPr="00804C03" w:rsidRDefault="00804C03" w:rsidP="000539E7">
      <w:pPr>
        <w:pStyle w:val="NoSpacing"/>
        <w:rPr>
          <w:rFonts w:ascii="Arial" w:hAnsi="Arial" w:cs="Arial"/>
          <w:i/>
          <w:sz w:val="24"/>
          <w:szCs w:val="24"/>
        </w:rPr>
      </w:pPr>
      <w:r w:rsidRPr="00804C03">
        <w:rPr>
          <w:rFonts w:ascii="Arial" w:hAnsi="Arial" w:cs="Arial"/>
          <w:b/>
          <w:sz w:val="24"/>
          <w:szCs w:val="24"/>
        </w:rPr>
        <w:t>N</w:t>
      </w:r>
      <w:r w:rsidR="00AB5CB5">
        <w:rPr>
          <w:rFonts w:ascii="Arial" w:hAnsi="Arial" w:cs="Arial"/>
          <w:b/>
          <w:sz w:val="24"/>
          <w:szCs w:val="24"/>
        </w:rPr>
        <w:t>EW PROVIDENCE, N.J., February 18</w:t>
      </w:r>
      <w:bookmarkStart w:id="0" w:name="_GoBack"/>
      <w:bookmarkEnd w:id="0"/>
      <w:r w:rsidRPr="00804C03">
        <w:rPr>
          <w:rFonts w:ascii="Arial" w:hAnsi="Arial" w:cs="Arial"/>
          <w:b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– </w:t>
      </w:r>
      <w:r w:rsidR="00392FC3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the “</w:t>
      </w:r>
      <w:r w:rsidR="00392FC3">
        <w:rPr>
          <w:rFonts w:ascii="Arial" w:hAnsi="Arial" w:cs="Arial"/>
          <w:sz w:val="24"/>
          <w:szCs w:val="24"/>
        </w:rPr>
        <w:t>exurb</w:t>
      </w:r>
      <w:r>
        <w:rPr>
          <w:rFonts w:ascii="Arial" w:hAnsi="Arial" w:cs="Arial"/>
          <w:sz w:val="24"/>
          <w:szCs w:val="24"/>
        </w:rPr>
        <w:t>”</w:t>
      </w:r>
      <w:r w:rsidR="00392FC3">
        <w:rPr>
          <w:rFonts w:ascii="Arial" w:hAnsi="Arial" w:cs="Arial"/>
          <w:sz w:val="24"/>
          <w:szCs w:val="24"/>
        </w:rPr>
        <w:t xml:space="preserve"> of Murray Hill, </w:t>
      </w:r>
      <w:r w:rsidR="0031073F">
        <w:rPr>
          <w:rFonts w:ascii="Arial" w:hAnsi="Arial" w:cs="Arial"/>
          <w:sz w:val="24"/>
          <w:szCs w:val="24"/>
        </w:rPr>
        <w:t>an unincorporated community spanning New Providence and Berkeley Heights, N.J.,</w:t>
      </w:r>
      <w:r w:rsidR="00392FC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92FC3" w:rsidRPr="00A60CAC">
          <w:rPr>
            <w:rStyle w:val="Hyperlink"/>
            <w:rFonts w:ascii="Arial" w:hAnsi="Arial" w:cs="Arial"/>
            <w:sz w:val="24"/>
            <w:szCs w:val="24"/>
          </w:rPr>
          <w:t>Gebroe-Hammer Associates</w:t>
        </w:r>
      </w:hyperlink>
      <w:r w:rsidR="00392FC3">
        <w:rPr>
          <w:rFonts w:ascii="Arial" w:hAnsi="Arial" w:cs="Arial"/>
          <w:sz w:val="24"/>
          <w:szCs w:val="24"/>
        </w:rPr>
        <w:t xml:space="preserve"> has arranged the $47 million trade </w:t>
      </w:r>
      <w:r w:rsidR="0088739A">
        <w:rPr>
          <w:rFonts w:ascii="Arial" w:hAnsi="Arial" w:cs="Arial"/>
          <w:sz w:val="24"/>
          <w:szCs w:val="24"/>
        </w:rPr>
        <w:t>of Murray Hill Apartments, a 171</w:t>
      </w:r>
      <w:r w:rsidR="00392FC3">
        <w:rPr>
          <w:rFonts w:ascii="Arial" w:hAnsi="Arial" w:cs="Arial"/>
          <w:sz w:val="24"/>
          <w:szCs w:val="24"/>
        </w:rPr>
        <w:t>-unit garden-apartment complex</w:t>
      </w:r>
      <w:r w:rsidR="00C92F25">
        <w:rPr>
          <w:rFonts w:ascii="Arial" w:hAnsi="Arial" w:cs="Arial"/>
          <w:sz w:val="24"/>
          <w:szCs w:val="24"/>
        </w:rPr>
        <w:t xml:space="preserve"> </w:t>
      </w:r>
      <w:r w:rsidR="00392FC3">
        <w:rPr>
          <w:rFonts w:ascii="Arial" w:hAnsi="Arial" w:cs="Arial"/>
          <w:sz w:val="24"/>
          <w:szCs w:val="24"/>
        </w:rPr>
        <w:t xml:space="preserve">in northwestern Union County. The brokerage team of Executive Vice Presidents Greg Pine and David Jarvis, along with Senior Vice President Stephen Tragash, exclusively represented the seller and </w:t>
      </w:r>
      <w:r w:rsidR="001D3B96">
        <w:rPr>
          <w:rFonts w:ascii="Arial" w:hAnsi="Arial" w:cs="Arial"/>
          <w:sz w:val="24"/>
          <w:szCs w:val="24"/>
        </w:rPr>
        <w:t xml:space="preserve">identified </w:t>
      </w:r>
      <w:r w:rsidR="00392FC3">
        <w:rPr>
          <w:rFonts w:ascii="Arial" w:hAnsi="Arial" w:cs="Arial"/>
          <w:sz w:val="24"/>
          <w:szCs w:val="24"/>
        </w:rPr>
        <w:t>the buyer, both of whom are unnamed private investors.</w:t>
      </w:r>
    </w:p>
    <w:p w:rsidR="00804C03" w:rsidRDefault="00804C03" w:rsidP="000539E7">
      <w:pPr>
        <w:pStyle w:val="NoSpacing"/>
        <w:rPr>
          <w:rFonts w:ascii="Arial" w:hAnsi="Arial" w:cs="Arial"/>
          <w:sz w:val="24"/>
          <w:szCs w:val="24"/>
        </w:rPr>
      </w:pPr>
    </w:p>
    <w:p w:rsidR="00C92F25" w:rsidRDefault="00804C03" w:rsidP="00053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16777">
        <w:rPr>
          <w:rFonts w:ascii="Arial" w:hAnsi="Arial" w:cs="Arial"/>
          <w:sz w:val="24"/>
          <w:szCs w:val="24"/>
        </w:rPr>
        <w:t>ocated at 48 Southgate R</w:t>
      </w:r>
      <w:r>
        <w:rPr>
          <w:rFonts w:ascii="Arial" w:hAnsi="Arial" w:cs="Arial"/>
          <w:sz w:val="24"/>
          <w:szCs w:val="24"/>
        </w:rPr>
        <w:t>d</w:t>
      </w:r>
      <w:r w:rsidR="009167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Murray Hill Apartments features 12 two-story walk-up buildings </w:t>
      </w:r>
      <w:r w:rsidR="001F456D">
        <w:rPr>
          <w:rFonts w:ascii="Arial" w:hAnsi="Arial" w:cs="Arial"/>
          <w:sz w:val="24"/>
          <w:szCs w:val="24"/>
        </w:rPr>
        <w:t>fronting</w:t>
      </w:r>
      <w:r>
        <w:rPr>
          <w:rFonts w:ascii="Arial" w:hAnsi="Arial" w:cs="Arial"/>
          <w:sz w:val="24"/>
          <w:szCs w:val="24"/>
        </w:rPr>
        <w:t xml:space="preserve"> Gales Drive, Springfield Avenue and Fifth Street. The property</w:t>
      </w:r>
      <w:r w:rsidR="001F456D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>72 one-bedroom and 100 two-bedroom</w:t>
      </w:r>
      <w:r w:rsidR="001F456D">
        <w:rPr>
          <w:rFonts w:ascii="Arial" w:hAnsi="Arial" w:cs="Arial"/>
          <w:sz w:val="24"/>
          <w:szCs w:val="24"/>
        </w:rPr>
        <w:t xml:space="preserve"> units have newly updated, </w:t>
      </w:r>
      <w:r>
        <w:rPr>
          <w:rFonts w:ascii="Arial" w:hAnsi="Arial" w:cs="Arial"/>
          <w:sz w:val="24"/>
          <w:szCs w:val="24"/>
        </w:rPr>
        <w:t>modernized kitchen</w:t>
      </w:r>
      <w:r w:rsidR="001F456D">
        <w:rPr>
          <w:rFonts w:ascii="Arial" w:hAnsi="Arial" w:cs="Arial"/>
          <w:sz w:val="24"/>
          <w:szCs w:val="24"/>
        </w:rPr>
        <w:t>s and hardwood floors</w:t>
      </w:r>
      <w:r>
        <w:rPr>
          <w:rFonts w:ascii="Arial" w:hAnsi="Arial" w:cs="Arial"/>
          <w:sz w:val="24"/>
          <w:szCs w:val="24"/>
        </w:rPr>
        <w:t xml:space="preserve">. </w:t>
      </w:r>
      <w:r w:rsidR="001F456D">
        <w:rPr>
          <w:rFonts w:ascii="Arial" w:hAnsi="Arial" w:cs="Arial"/>
          <w:sz w:val="24"/>
          <w:szCs w:val="24"/>
        </w:rPr>
        <w:t>On-site amenities include p</w:t>
      </w:r>
      <w:r>
        <w:rPr>
          <w:rFonts w:ascii="Arial" w:hAnsi="Arial" w:cs="Arial"/>
          <w:sz w:val="24"/>
          <w:szCs w:val="24"/>
        </w:rPr>
        <w:t>arking and la</w:t>
      </w:r>
      <w:r w:rsidR="001F456D">
        <w:rPr>
          <w:rFonts w:ascii="Arial" w:hAnsi="Arial" w:cs="Arial"/>
          <w:sz w:val="24"/>
          <w:szCs w:val="24"/>
        </w:rPr>
        <w:t>undry facilities</w:t>
      </w:r>
      <w:r>
        <w:rPr>
          <w:rFonts w:ascii="Arial" w:hAnsi="Arial" w:cs="Arial"/>
          <w:sz w:val="24"/>
          <w:szCs w:val="24"/>
        </w:rPr>
        <w:t>.</w:t>
      </w:r>
      <w:r w:rsidR="00054E64">
        <w:rPr>
          <w:rFonts w:ascii="Arial" w:hAnsi="Arial" w:cs="Arial"/>
          <w:sz w:val="24"/>
          <w:szCs w:val="24"/>
        </w:rPr>
        <w:t xml:space="preserve"> The Murray Hill Train Station is within steps of the complex.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4C03" w:rsidRDefault="00804C03" w:rsidP="000539E7">
      <w:pPr>
        <w:pStyle w:val="NoSpacing"/>
        <w:rPr>
          <w:rFonts w:ascii="Arial" w:hAnsi="Arial" w:cs="Arial"/>
          <w:sz w:val="24"/>
          <w:szCs w:val="24"/>
        </w:rPr>
      </w:pPr>
    </w:p>
    <w:p w:rsidR="00C92F25" w:rsidRDefault="00C92F25" w:rsidP="00053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“Communities like Murray Hill have pervasive appeal among multi-family investors because, in general, the tenant pool has a higher college education level and higher median household income that influences the caliber of the area’</w:t>
      </w:r>
      <w:r w:rsidR="001F456D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multi-family properties and market-rate rents,” said Pine</w:t>
      </w:r>
      <w:r w:rsidR="00804C03">
        <w:rPr>
          <w:rFonts w:ascii="Arial" w:hAnsi="Arial" w:cs="Arial"/>
          <w:sz w:val="24"/>
          <w:szCs w:val="24"/>
        </w:rPr>
        <w:t xml:space="preserve">, who has represented the seller in </w:t>
      </w:r>
      <w:r w:rsidR="0088739A" w:rsidRPr="0088739A">
        <w:rPr>
          <w:rFonts w:ascii="Arial" w:hAnsi="Arial" w:cs="Arial"/>
          <w:sz w:val="24"/>
          <w:szCs w:val="24"/>
        </w:rPr>
        <w:t>six</w:t>
      </w:r>
      <w:r w:rsidR="00CF43B6" w:rsidRPr="0088739A">
        <w:rPr>
          <w:rFonts w:ascii="Arial" w:hAnsi="Arial" w:cs="Arial"/>
          <w:sz w:val="24"/>
          <w:szCs w:val="24"/>
        </w:rPr>
        <w:t xml:space="preserve"> </w:t>
      </w:r>
      <w:r w:rsidR="00804C03">
        <w:rPr>
          <w:rFonts w:ascii="Arial" w:hAnsi="Arial" w:cs="Arial"/>
          <w:sz w:val="24"/>
          <w:szCs w:val="24"/>
        </w:rPr>
        <w:t>other recent transactions</w:t>
      </w:r>
      <w:r>
        <w:rPr>
          <w:rFonts w:ascii="Arial" w:hAnsi="Arial" w:cs="Arial"/>
          <w:sz w:val="24"/>
          <w:szCs w:val="24"/>
        </w:rPr>
        <w:t xml:space="preserve">. “Furthermore, </w:t>
      </w:r>
      <w:r w:rsidR="001F456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Murray Hill</w:t>
      </w:r>
      <w:r w:rsidR="001F456D">
        <w:rPr>
          <w:rFonts w:ascii="Arial" w:hAnsi="Arial" w:cs="Arial"/>
          <w:sz w:val="24"/>
          <w:szCs w:val="24"/>
        </w:rPr>
        <w:t xml:space="preserve"> neighborhood</w:t>
      </w:r>
      <w:r>
        <w:rPr>
          <w:rFonts w:ascii="Arial" w:hAnsi="Arial" w:cs="Arial"/>
          <w:sz w:val="24"/>
          <w:szCs w:val="24"/>
        </w:rPr>
        <w:t xml:space="preserve"> also offers a balance between a surging daytime population drawn to a leading regional employer and protected green open space that preserves its rural character.”</w:t>
      </w:r>
    </w:p>
    <w:p w:rsidR="00CE4B09" w:rsidRDefault="00CE4B09" w:rsidP="000539E7">
      <w:pPr>
        <w:pStyle w:val="NoSpacing"/>
        <w:rPr>
          <w:rFonts w:ascii="Arial" w:hAnsi="Arial" w:cs="Arial"/>
          <w:sz w:val="24"/>
          <w:szCs w:val="24"/>
        </w:rPr>
      </w:pPr>
    </w:p>
    <w:p w:rsidR="008A1F4D" w:rsidRDefault="00560992" w:rsidP="00CE4B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Murray Hill i</w:t>
      </w:r>
      <w:r w:rsidR="00CE4B09">
        <w:rPr>
          <w:rFonts w:ascii="Arial" w:hAnsi="Arial" w:cs="Arial"/>
          <w:sz w:val="24"/>
          <w:szCs w:val="24"/>
        </w:rPr>
        <w:t>s the long-time central location of Alcatel-Lucent, and its</w:t>
      </w:r>
      <w:r>
        <w:rPr>
          <w:rFonts w:ascii="Arial" w:hAnsi="Arial" w:cs="Arial"/>
          <w:sz w:val="24"/>
          <w:szCs w:val="24"/>
        </w:rPr>
        <w:t xml:space="preserve"> predecessor Bell Labs. Characterized as an exurb due to its controlled sprawl</w:t>
      </w:r>
      <w:r w:rsidR="0017154A">
        <w:rPr>
          <w:rFonts w:ascii="Arial" w:hAnsi="Arial" w:cs="Arial"/>
          <w:sz w:val="24"/>
          <w:szCs w:val="24"/>
        </w:rPr>
        <w:t xml:space="preserve"> and permanently protected parkland</w:t>
      </w:r>
      <w:r>
        <w:rPr>
          <w:rFonts w:ascii="Arial" w:hAnsi="Arial" w:cs="Arial"/>
          <w:sz w:val="24"/>
          <w:szCs w:val="24"/>
        </w:rPr>
        <w:t xml:space="preserve">, centralized population density and proximity to urban </w:t>
      </w:r>
      <w:r w:rsidR="008A1F4D">
        <w:rPr>
          <w:rFonts w:ascii="Arial" w:hAnsi="Arial" w:cs="Arial"/>
          <w:sz w:val="24"/>
          <w:szCs w:val="24"/>
        </w:rPr>
        <w:t>centers, Murray Hill’s population is primarily employed in the professional/scientific/technical services and finance/insurance sectors.</w:t>
      </w:r>
    </w:p>
    <w:p w:rsidR="008A1F4D" w:rsidRDefault="008A1F4D" w:rsidP="00CE4B09">
      <w:pPr>
        <w:pStyle w:val="NoSpacing"/>
        <w:rPr>
          <w:rFonts w:ascii="Arial" w:hAnsi="Arial" w:cs="Arial"/>
          <w:sz w:val="24"/>
          <w:szCs w:val="24"/>
        </w:rPr>
      </w:pPr>
    </w:p>
    <w:p w:rsidR="008A1F4D" w:rsidRDefault="008A1F4D" w:rsidP="008A1F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Commuters to and from the Borough of New Providence favor its easy access to the region’s extensive highway, rail and bus transit network. Buses and cars travel via I-78 and routes 22 and 24, connecting to the Garden State Parkway and NJ Turnpike as well as the Lincoln and Holland Tunnels and George Washington Bridge. Rail service is available </w:t>
      </w:r>
      <w:r w:rsidR="00054E64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Murray Hill Station, which offers services along the Gladstone Branch of the Morris-Essex Line to Hoboken Terminal and Penn Station in Midtown Manhattan.</w:t>
      </w:r>
    </w:p>
    <w:p w:rsidR="0017154A" w:rsidRDefault="0017154A" w:rsidP="008A1F4D">
      <w:pPr>
        <w:pStyle w:val="NoSpacing"/>
        <w:rPr>
          <w:rFonts w:ascii="Arial" w:hAnsi="Arial" w:cs="Arial"/>
          <w:sz w:val="24"/>
          <w:szCs w:val="24"/>
        </w:rPr>
      </w:pPr>
    </w:p>
    <w:p w:rsidR="0017154A" w:rsidRDefault="0017154A" w:rsidP="008A1F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seller has been represented by Pine </w:t>
      </w:r>
      <w:r w:rsidR="003E345B">
        <w:rPr>
          <w:rFonts w:ascii="Arial" w:hAnsi="Arial" w:cs="Arial"/>
          <w:sz w:val="24"/>
          <w:szCs w:val="24"/>
        </w:rPr>
        <w:t xml:space="preserve">in several recent </w:t>
      </w:r>
      <w:r>
        <w:rPr>
          <w:rFonts w:ascii="Arial" w:hAnsi="Arial" w:cs="Arial"/>
          <w:sz w:val="24"/>
          <w:szCs w:val="24"/>
        </w:rPr>
        <w:t>trades</w:t>
      </w:r>
      <w:r w:rsidR="003E345B">
        <w:rPr>
          <w:rFonts w:ascii="Arial" w:hAnsi="Arial" w:cs="Arial"/>
          <w:sz w:val="24"/>
          <w:szCs w:val="24"/>
        </w:rPr>
        <w:t xml:space="preserve"> involving larger garden-apartment communities</w:t>
      </w:r>
      <w:r>
        <w:rPr>
          <w:rFonts w:ascii="Arial" w:hAnsi="Arial" w:cs="Arial"/>
          <w:sz w:val="24"/>
          <w:szCs w:val="24"/>
        </w:rPr>
        <w:t>, including the $175 million sale of Village Green in</w:t>
      </w:r>
      <w:r w:rsidR="003E345B">
        <w:rPr>
          <w:rFonts w:ascii="Arial" w:hAnsi="Arial" w:cs="Arial"/>
          <w:sz w:val="24"/>
          <w:szCs w:val="24"/>
        </w:rPr>
        <w:t xml:space="preserve"> Mt. Olive Township. Additional transactions included properties in West Orange and North Plainfield, N.J.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39E7" w:rsidRDefault="000539E7" w:rsidP="000539E7">
      <w:pPr>
        <w:pStyle w:val="NoSpacing"/>
        <w:rPr>
          <w:rFonts w:ascii="Arial" w:hAnsi="Arial" w:cs="Arial"/>
          <w:sz w:val="24"/>
          <w:szCs w:val="24"/>
        </w:rPr>
      </w:pPr>
    </w:p>
    <w:p w:rsidR="0017154A" w:rsidRDefault="0017154A" w:rsidP="0017154A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671E54">
        <w:rPr>
          <w:rFonts w:ascii="Arial" w:hAnsi="Arial" w:cs="Arial"/>
          <w:sz w:val="24"/>
          <w:szCs w:val="24"/>
        </w:rPr>
        <w:t xml:space="preserve">Based in Livingston, N.J., Gebroe-Hammer is </w:t>
      </w:r>
      <w:r w:rsidRPr="00671E54">
        <w:rPr>
          <w:rFonts w:ascii="Arial" w:hAnsi="Arial" w:cs="Arial"/>
          <w:color w:val="000000"/>
          <w:sz w:val="24"/>
          <w:szCs w:val="24"/>
        </w:rPr>
        <w:t>one of the most active multi-family investment sales b</w:t>
      </w:r>
      <w:r>
        <w:rPr>
          <w:rFonts w:ascii="Arial" w:hAnsi="Arial" w:cs="Arial"/>
          <w:color w:val="000000"/>
          <w:sz w:val="24"/>
          <w:szCs w:val="24"/>
        </w:rPr>
        <w:t>rokerage firms in the New Jersey/Philadelphia/New York State region.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Its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 brokerage activities concentrate on suburban and urban high-rise and garden-apartment properties throughout the Northeast and nationally. Gebroe-Hammer also markets mixed-use and free-standing office and retail properties. </w:t>
      </w:r>
      <w:r w:rsidRPr="00671E54">
        <w:rPr>
          <w:rFonts w:ascii="Arial" w:hAnsi="Arial" w:cs="Arial"/>
          <w:sz w:val="24"/>
          <w:szCs w:val="24"/>
          <w:lang w:val="en"/>
        </w:rPr>
        <w:t xml:space="preserve">Widely recognized for its consistent sales performance, the firm is a </w:t>
      </w:r>
      <w:r w:rsidRPr="00B63959">
        <w:rPr>
          <w:rFonts w:ascii="Arial" w:hAnsi="Arial" w:cs="Arial"/>
          <w:sz w:val="24"/>
          <w:szCs w:val="24"/>
          <w:lang w:val="en"/>
        </w:rPr>
        <w:t>10-time</w:t>
      </w:r>
      <w:r w:rsidRPr="00671E54">
        <w:rPr>
          <w:rFonts w:ascii="Arial" w:hAnsi="Arial" w:cs="Arial"/>
          <w:sz w:val="24"/>
          <w:szCs w:val="24"/>
          <w:lang w:val="en"/>
        </w:rPr>
        <w:t xml:space="preserve"> CoStar Power Broker. </w:t>
      </w:r>
    </w:p>
    <w:p w:rsidR="0017154A" w:rsidRDefault="0017154A" w:rsidP="0017154A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17154A" w:rsidRPr="00C51A78" w:rsidRDefault="0017154A" w:rsidP="0017154A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###</w:t>
      </w:r>
    </w:p>
    <w:p w:rsidR="0017154A" w:rsidRDefault="0017154A" w:rsidP="000539E7">
      <w:pPr>
        <w:pStyle w:val="NoSpacing"/>
        <w:rPr>
          <w:rFonts w:ascii="Arial" w:hAnsi="Arial" w:cs="Arial"/>
          <w:sz w:val="24"/>
          <w:szCs w:val="24"/>
        </w:rPr>
      </w:pPr>
    </w:p>
    <w:p w:rsidR="000539E7" w:rsidRPr="000539E7" w:rsidRDefault="000539E7" w:rsidP="000539E7">
      <w:pPr>
        <w:pStyle w:val="NoSpacing"/>
        <w:rPr>
          <w:rFonts w:ascii="Arial" w:hAnsi="Arial" w:cs="Arial"/>
          <w:sz w:val="24"/>
          <w:szCs w:val="24"/>
        </w:rPr>
      </w:pPr>
    </w:p>
    <w:sectPr w:rsidR="000539E7" w:rsidRPr="000539E7" w:rsidSect="00A60CAC">
      <w:head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31" w:rsidRDefault="007D0231" w:rsidP="00A60CAC">
      <w:r>
        <w:separator/>
      </w:r>
    </w:p>
  </w:endnote>
  <w:endnote w:type="continuationSeparator" w:id="0">
    <w:p w:rsidR="007D0231" w:rsidRDefault="007D0231" w:rsidP="00A6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AC" w:rsidRPr="00A60CAC" w:rsidRDefault="00A60CAC" w:rsidP="00A60CAC">
    <w:pPr>
      <w:pStyle w:val="Footer"/>
      <w:jc w:val="right"/>
      <w:rPr>
        <w:rFonts w:ascii="Arial" w:hAnsi="Arial" w:cs="Arial"/>
        <w:sz w:val="24"/>
        <w:szCs w:val="24"/>
      </w:rPr>
    </w:pPr>
    <w:r w:rsidRPr="00A60CAC">
      <w:rPr>
        <w:rFonts w:ascii="Arial" w:hAnsi="Arial" w:cs="Arial"/>
        <w:sz w:val="24"/>
        <w:szCs w:val="24"/>
      </w:rPr>
      <w:t>-more</w:t>
    </w:r>
  </w:p>
  <w:p w:rsidR="00A60CAC" w:rsidRDefault="00A60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31" w:rsidRDefault="007D0231" w:rsidP="00A60CAC">
      <w:r>
        <w:separator/>
      </w:r>
    </w:p>
  </w:footnote>
  <w:footnote w:type="continuationSeparator" w:id="0">
    <w:p w:rsidR="007D0231" w:rsidRDefault="007D0231" w:rsidP="00A6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AC" w:rsidRPr="00A60CAC" w:rsidRDefault="00A60CAC" w:rsidP="00A60CAC">
    <w:pPr>
      <w:pStyle w:val="NoSpacing"/>
      <w:jc w:val="right"/>
      <w:rPr>
        <w:rFonts w:ascii="Arial" w:hAnsi="Arial" w:cs="Arial"/>
        <w:sz w:val="24"/>
        <w:szCs w:val="24"/>
      </w:rPr>
    </w:pPr>
    <w:r w:rsidRPr="00A60CAC">
      <w:rPr>
        <w:rFonts w:ascii="Arial" w:hAnsi="Arial" w:cs="Arial"/>
        <w:sz w:val="24"/>
        <w:szCs w:val="24"/>
      </w:rPr>
      <w:t>Sale of 171-Unit Murray Hill Apartments in New Providence NJ</w:t>
    </w:r>
    <w:r>
      <w:rPr>
        <w:rFonts w:ascii="Arial" w:hAnsi="Arial" w:cs="Arial"/>
        <w:sz w:val="24"/>
        <w:szCs w:val="24"/>
      </w:rPr>
      <w:t>/Page 2</w:t>
    </w:r>
  </w:p>
  <w:p w:rsidR="00A60CAC" w:rsidRDefault="00A60CAC">
    <w:pPr>
      <w:pStyle w:val="Header"/>
    </w:pPr>
  </w:p>
  <w:p w:rsidR="00A60CAC" w:rsidRDefault="00A60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E7"/>
    <w:rsid w:val="000539E7"/>
    <w:rsid w:val="00054E64"/>
    <w:rsid w:val="0017154A"/>
    <w:rsid w:val="001D3B96"/>
    <w:rsid w:val="001F456D"/>
    <w:rsid w:val="0031073F"/>
    <w:rsid w:val="00386A08"/>
    <w:rsid w:val="00392FC3"/>
    <w:rsid w:val="003E345B"/>
    <w:rsid w:val="00560992"/>
    <w:rsid w:val="005F28E4"/>
    <w:rsid w:val="007D0231"/>
    <w:rsid w:val="00804C03"/>
    <w:rsid w:val="0088739A"/>
    <w:rsid w:val="008A1F4D"/>
    <w:rsid w:val="00916777"/>
    <w:rsid w:val="00A13B8B"/>
    <w:rsid w:val="00A60CAC"/>
    <w:rsid w:val="00AB5CB5"/>
    <w:rsid w:val="00B7268F"/>
    <w:rsid w:val="00C92F25"/>
    <w:rsid w:val="00CE4B09"/>
    <w:rsid w:val="00CF43B6"/>
    <w:rsid w:val="00F7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43B5A-928A-4E57-BBEC-45B99BDA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9E7"/>
    <w:pPr>
      <w:spacing w:after="0" w:line="240" w:lineRule="auto"/>
    </w:pPr>
  </w:style>
  <w:style w:type="paragraph" w:customStyle="1" w:styleId="Default">
    <w:name w:val="Default"/>
    <w:rsid w:val="00053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9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CA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0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CA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ebroehamm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n@cmmstrategi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3</cp:revision>
  <dcterms:created xsi:type="dcterms:W3CDTF">2016-02-16T21:13:00Z</dcterms:created>
  <dcterms:modified xsi:type="dcterms:W3CDTF">2016-02-18T15:09:00Z</dcterms:modified>
</cp:coreProperties>
</file>